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20"/>
        <w:spacing w:after="0"/>
        <w:rPr>
          <w:sz w:val="20"/>
          <w:szCs w:val="20"/>
          <w:color w:val="auto"/>
        </w:rPr>
      </w:pPr>
      <w:r>
        <w:rPr>
          <w:rFonts w:ascii="Times New Roman" w:cs="Times New Roman" w:eastAsia="Times New Roman" w:hAnsi="Times New Roman"/>
          <w:sz w:val="18"/>
          <w:szCs w:val="18"/>
          <w:b w:val="1"/>
          <w:bCs w:val="1"/>
          <w:color w:val="auto"/>
        </w:rPr>
        <w:drawing>
          <wp:anchor simplePos="0" relativeHeight="251657728" behindDoc="1" locked="0" layoutInCell="0" allowOverlap="1">
            <wp:simplePos x="0" y="0"/>
            <wp:positionH relativeFrom="page">
              <wp:posOffset>4791710</wp:posOffset>
            </wp:positionH>
            <wp:positionV relativeFrom="page">
              <wp:posOffset>627380</wp:posOffset>
            </wp:positionV>
            <wp:extent cx="2164080" cy="4330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164080" cy="433070"/>
                    </a:xfrm>
                    <a:prstGeom prst="rect">
                      <a:avLst/>
                    </a:prstGeom>
                    <a:noFill/>
                  </pic:spPr>
                </pic:pic>
              </a:graphicData>
            </a:graphic>
          </wp:anchor>
        </w:drawing>
        <w:t>PETROLEUM EXPLORATION AND DEVELOPMENT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13970</wp:posOffset>
            </wp:positionH>
            <wp:positionV relativeFrom="paragraph">
              <wp:posOffset>-116205</wp:posOffset>
            </wp:positionV>
            <wp:extent cx="323215" cy="431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23215" cy="431800"/>
                    </a:xfrm>
                    <a:prstGeom prst="rect">
                      <a:avLst/>
                    </a:prstGeom>
                    <a:noFill/>
                  </pic:spPr>
                </pic:pic>
              </a:graphicData>
            </a:graphic>
          </wp:anchor>
        </w:drawing>
      </w:r>
    </w:p>
    <w:p>
      <w:pPr>
        <w:spacing w:after="0" w:line="13"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18"/>
          <w:szCs w:val="18"/>
          <w:color w:val="auto"/>
        </w:rPr>
        <w:t>Volume 50, Issue 3, June 2023</w:t>
      </w:r>
    </w:p>
    <w:p>
      <w:pPr>
        <w:spacing w:after="0" w:line="33"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18"/>
          <w:szCs w:val="18"/>
          <w:color w:val="auto"/>
        </w:rPr>
        <w:t>Online English edition of the Chinese language journal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4714240</wp:posOffset>
                </wp:positionH>
                <wp:positionV relativeFrom="paragraph">
                  <wp:posOffset>111760</wp:posOffset>
                </wp:positionV>
                <wp:extent cx="1620520" cy="26416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0520" cy="264160"/>
                        </a:xfrm>
                        <a:prstGeom prst="rect">
                          <a:avLst/>
                        </a:prstGeom>
                        <a:solidFill>
                          <a:srgbClr val="969696"/>
                        </a:solidFill>
                      </wps:spPr>
                      <wps:bodyPr/>
                    </wps:wsp>
                  </a:graphicData>
                </a:graphic>
              </wp:anchor>
            </w:drawing>
          </mc:Choice>
          <mc:Fallback>
            <w:pict>
              <v:rect id="Shape 3" o:spid="_x0000_s1028" style="position:absolute;margin-left:371.2pt;margin-top:8.8pt;width:127.6pt;height:20.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69696" stroked="f"/>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111125</wp:posOffset>
                </wp:positionV>
                <wp:extent cx="633539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53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8.75pt" to="498.7pt,8.75pt" o:allowincell="f" strokecolor="#000000" strokeweight="0.48pt"/>
            </w:pict>
          </mc:Fallback>
        </mc:AlternateContent>
      </w:r>
    </w:p>
    <w:p>
      <w:pPr>
        <w:spacing w:after="0" w:line="253" w:lineRule="exact"/>
        <w:rPr>
          <w:sz w:val="24"/>
          <w:szCs w:val="24"/>
          <w:color w:val="auto"/>
        </w:rPr>
      </w:pPr>
    </w:p>
    <w:p>
      <w:pPr>
        <w:spacing w:after="0"/>
        <w:tabs>
          <w:tab w:leader="none" w:pos="7860" w:val="left"/>
        </w:tabs>
        <w:rPr>
          <w:sz w:val="20"/>
          <w:szCs w:val="20"/>
          <w:color w:val="auto"/>
        </w:rPr>
      </w:pPr>
      <w:r>
        <w:rPr>
          <w:rFonts w:ascii="Times New Roman" w:cs="Times New Roman" w:eastAsia="Times New Roman" w:hAnsi="Times New Roman"/>
          <w:sz w:val="18"/>
          <w:szCs w:val="18"/>
          <w:b w:val="1"/>
          <w:bCs w:val="1"/>
          <w:color w:val="auto"/>
        </w:rPr>
        <w:t>Cite this article as:</w:t>
      </w:r>
      <w:r>
        <w:rPr>
          <w:rFonts w:ascii="Times New Roman" w:cs="Times New Roman" w:eastAsia="Times New Roman" w:hAnsi="Times New Roman"/>
          <w:sz w:val="18"/>
          <w:szCs w:val="18"/>
          <w:color w:val="auto"/>
        </w:rPr>
        <w:t xml:space="preserve"> PETROL. EXPLOR. DEVELOP., 2023, 50(3): 547–557.</w:t>
      </w:r>
      <w:r>
        <w:rPr>
          <w:sz w:val="20"/>
          <w:szCs w:val="20"/>
          <w:color w:val="auto"/>
        </w:rPr>
        <w:tab/>
      </w:r>
      <w:r>
        <w:rPr>
          <w:rFonts w:ascii="Arial" w:cs="Arial" w:eastAsia="Arial" w:hAnsi="Arial"/>
          <w:sz w:val="17"/>
          <w:szCs w:val="17"/>
          <w:b w:val="1"/>
          <w:bCs w:val="1"/>
          <w:color w:val="FFFFFF"/>
        </w:rPr>
        <w:t>RESEARCH PAPER</w:t>
      </w: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p>
      <w:pPr>
        <w:ind w:right="480"/>
        <w:spacing w:after="0" w:line="226" w:lineRule="auto"/>
        <w:rPr>
          <w:sz w:val="20"/>
          <w:szCs w:val="20"/>
          <w:color w:val="auto"/>
        </w:rPr>
      </w:pPr>
      <w:r>
        <w:rPr>
          <w:rFonts w:ascii="Times New Roman" w:cs="Times New Roman" w:eastAsia="Times New Roman" w:hAnsi="Times New Roman"/>
          <w:sz w:val="40"/>
          <w:szCs w:val="40"/>
          <w:b w:val="1"/>
          <w:bCs w:val="1"/>
          <w:color w:val="auto"/>
        </w:rPr>
        <w:t>Migration and accumulation mechanisms and main controlling factors of tight oil enrichment in a continental lake basin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5706745</wp:posOffset>
            </wp:positionH>
            <wp:positionV relativeFrom="paragraph">
              <wp:posOffset>-563245</wp:posOffset>
            </wp:positionV>
            <wp:extent cx="335280" cy="3721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335280" cy="372110"/>
                    </a:xfrm>
                    <a:prstGeom prst="rect">
                      <a:avLst/>
                    </a:prstGeom>
                    <a:noFill/>
                  </pic:spPr>
                </pic:pic>
              </a:graphicData>
            </a:graphic>
          </wp:anchor>
        </w:drawing>
      </w:r>
    </w:p>
    <w:p>
      <w:pPr>
        <w:spacing w:after="0" w:line="200" w:lineRule="exact"/>
        <w:rPr>
          <w:sz w:val="24"/>
          <w:szCs w:val="24"/>
          <w:color w:val="auto"/>
        </w:rPr>
      </w:pPr>
    </w:p>
    <w:p>
      <w:pPr>
        <w:spacing w:after="0" w:line="269" w:lineRule="exact"/>
        <w:rPr>
          <w:sz w:val="24"/>
          <w:szCs w:val="24"/>
          <w:color w:val="auto"/>
        </w:rPr>
      </w:pPr>
    </w:p>
    <w:p>
      <w:pPr>
        <w:ind w:right="80"/>
        <w:spacing w:after="0" w:line="239" w:lineRule="auto"/>
        <w:rPr>
          <w:sz w:val="20"/>
          <w:szCs w:val="20"/>
          <w:color w:val="auto"/>
        </w:rPr>
      </w:pPr>
      <w:r>
        <w:rPr>
          <w:rFonts w:ascii="Times New Roman" w:cs="Times New Roman" w:eastAsia="Times New Roman" w:hAnsi="Times New Roman"/>
          <w:sz w:val="21"/>
          <w:szCs w:val="21"/>
          <w:color w:val="auto"/>
        </w:rPr>
        <w:t>HU Suyun</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TAO Shizhen</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xml:space="preserve"> *, WANG Min</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1"/>
          <w:szCs w:val="21"/>
          <w:color w:val="auto"/>
        </w:rPr>
        <w:t>, PANG Zhenglian</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BAI Bin</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CHEN Yanyan</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LU Shuangfang</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1"/>
          <w:szCs w:val="21"/>
          <w:color w:val="auto"/>
        </w:rPr>
        <w:t>, CHEN Yue</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YANG Yiqing</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JIN Xu</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JIA Jinhua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WANG Jian</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ZHANG Tianshu</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LIN Senhu</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WU Yinye</w:t>
      </w:r>
      <w:r>
        <w:rPr>
          <w:rFonts w:ascii="Times New Roman" w:cs="Times New Roman" w:eastAsia="Times New Roman" w:hAnsi="Times New Roman"/>
          <w:sz w:val="24"/>
          <w:szCs w:val="24"/>
          <w:color w:val="auto"/>
          <w:vertAlign w:val="superscript"/>
        </w:rPr>
        <w:t>1</w:t>
      </w:r>
    </w:p>
    <w:p>
      <w:pPr>
        <w:spacing w:after="0" w:line="74" w:lineRule="exact"/>
        <w:rPr>
          <w:sz w:val="24"/>
          <w:szCs w:val="24"/>
          <w:color w:val="auto"/>
        </w:rPr>
      </w:pPr>
    </w:p>
    <w:p>
      <w:pPr>
        <w:ind w:left="140" w:hanging="136"/>
        <w:spacing w:after="0"/>
        <w:tabs>
          <w:tab w:leader="none" w:pos="140"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Research Institute of Petroleum Exploration &amp; Development, PetroChina, Beijing 100083, China;</w:t>
      </w:r>
    </w:p>
    <w:p>
      <w:pPr>
        <w:spacing w:after="0" w:line="54" w:lineRule="exact"/>
        <w:rPr>
          <w:rFonts w:ascii="Times New Roman" w:cs="Times New Roman" w:eastAsia="Times New Roman" w:hAnsi="Times New Roman"/>
          <w:sz w:val="16"/>
          <w:szCs w:val="16"/>
          <w:color w:val="auto"/>
        </w:rPr>
      </w:pPr>
    </w:p>
    <w:p>
      <w:pPr>
        <w:ind w:left="160" w:hanging="156"/>
        <w:spacing w:after="0"/>
        <w:tabs>
          <w:tab w:leader="none" w:pos="160"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China University of Petrolum (East China), Qingdao 266580, China</w:t>
      </w:r>
    </w:p>
    <w:p>
      <w:pPr>
        <w:spacing w:after="0" w:line="200" w:lineRule="exact"/>
        <w:rPr>
          <w:sz w:val="24"/>
          <w:szCs w:val="24"/>
          <w:color w:val="auto"/>
        </w:rPr>
      </w:pPr>
    </w:p>
    <w:p>
      <w:pPr>
        <w:spacing w:after="0" w:line="306" w:lineRule="exact"/>
        <w:rPr>
          <w:sz w:val="24"/>
          <w:szCs w:val="24"/>
          <w:color w:val="auto"/>
        </w:rPr>
      </w:pPr>
    </w:p>
    <w:p>
      <w:pPr>
        <w:jc w:val="both"/>
        <w:ind w:left="280" w:right="280"/>
        <w:spacing w:after="0" w:line="292" w:lineRule="auto"/>
        <w:rPr>
          <w:sz w:val="20"/>
          <w:szCs w:val="20"/>
          <w:color w:val="auto"/>
        </w:rPr>
      </w:pPr>
      <w:r>
        <w:rPr>
          <w:rFonts w:ascii="Times New Roman" w:cs="Times New Roman" w:eastAsia="Times New Roman" w:hAnsi="Times New Roman"/>
          <w:sz w:val="17"/>
          <w:szCs w:val="17"/>
          <w:b w:val="1"/>
          <w:bCs w:val="1"/>
          <w:color w:val="auto"/>
        </w:rPr>
        <w:t>Abstract:</w:t>
      </w:r>
      <w:r>
        <w:rPr>
          <w:rFonts w:ascii="Times New Roman" w:cs="Times New Roman" w:eastAsia="Times New Roman" w:hAnsi="Times New Roman"/>
          <w:sz w:val="17"/>
          <w:szCs w:val="17"/>
          <w:color w:val="auto"/>
        </w:rPr>
        <w:t xml:space="preserve"> Based on the typical dissection of various onshore tight oil fields in China, the tight oil migration and accumulation mechanism and enrichment-controlling factors in continental lake basins are analyzed through nuclear magnetic resonance (NMR) displacement physical simulation and Lattice Boltzmann numerical simulation by using the samples of source rock, reservoir rock and crude oil. In continental lake basins, the dynamic forces driving hydrocarbon generation and expulsion of high-quality source rocks are the foundational power that determines the charging efficiency and accumulation effect of tight oil, the oil migration resistance is a key element that influences the charging efficiency and accumulation effect of tight oil, and the coupling of charging force with pore-throat resistance in tight reservoir controls the tight oil accumulation and sweet spot enrichment. The degree of tight oil enrichment in continental lake basins is controlled by four factors: source rock, reservoir pore-throat size, anisotropy of reservoir structure, and fractures. The high-quality source rocks control the near-source distribution of tight oil, reservoir physical properties and pore-throat size are positively correlated with the degree of tight oil enrichment, the anisotropy of reservoir structure reveals that the parallel migration rate is the highest, and intralayer fractures can improve the migration and accumulation efficiency and the oil saturation.</w:t>
      </w:r>
    </w:p>
    <w:p>
      <w:pPr>
        <w:spacing w:after="0" w:line="383" w:lineRule="exact"/>
        <w:rPr>
          <w:sz w:val="24"/>
          <w:szCs w:val="24"/>
          <w:color w:val="auto"/>
        </w:rPr>
      </w:pPr>
    </w:p>
    <w:p>
      <w:pPr>
        <w:jc w:val="both"/>
        <w:ind w:left="280" w:right="280"/>
        <w:spacing w:after="0" w:line="270" w:lineRule="auto"/>
        <w:rPr>
          <w:sz w:val="20"/>
          <w:szCs w:val="20"/>
          <w:color w:val="auto"/>
        </w:rPr>
      </w:pPr>
      <w:r>
        <w:rPr>
          <w:rFonts w:ascii="Times New Roman" w:cs="Times New Roman" w:eastAsia="Times New Roman" w:hAnsi="Times New Roman"/>
          <w:sz w:val="17"/>
          <w:szCs w:val="17"/>
          <w:b w:val="1"/>
          <w:bCs w:val="1"/>
          <w:color w:val="auto"/>
        </w:rPr>
        <w:t>Key words:</w:t>
      </w:r>
      <w:r>
        <w:rPr>
          <w:rFonts w:ascii="Times New Roman" w:cs="Times New Roman" w:eastAsia="Times New Roman" w:hAnsi="Times New Roman"/>
          <w:sz w:val="17"/>
          <w:szCs w:val="17"/>
          <w:color w:val="auto"/>
        </w:rPr>
        <w:t xml:space="preserve"> tight oil; NMR displacement physical simulation; Lattice Boltzmann numerical simulation; migration and accu-mulation mechanism; enrichment-controlling factor; continental lake basin; tight reservoir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119380</wp:posOffset>
                </wp:positionV>
                <wp:extent cx="633603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9.4pt" to="499.05pt,9.4pt" o:allowincell="f" strokecolor="#000000" strokeweight="0.48pt"/>
            </w:pict>
          </mc:Fallback>
        </mc:AlternateContent>
      </w:r>
    </w:p>
    <w:p>
      <w:pPr>
        <w:sectPr>
          <w:pgSz w:w="11900" w:h="16840" w:orient="portrait"/>
          <w:cols w:equalWidth="0" w:num="1">
            <w:col w:w="9980"/>
          </w:cols>
          <w:pgMar w:left="960" w:top="980" w:right="964" w:bottom="411" w:gutter="0" w:footer="0" w:header="0"/>
        </w:sectPr>
      </w:pPr>
    </w:p>
    <w:p>
      <w:pPr>
        <w:spacing w:after="0" w:line="200" w:lineRule="exact"/>
        <w:rPr>
          <w:sz w:val="24"/>
          <w:szCs w:val="24"/>
          <w:color w:val="auto"/>
        </w:rPr>
      </w:pPr>
    </w:p>
    <w:p>
      <w:pPr>
        <w:spacing w:after="0" w:line="231"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Introduction</w:t>
      </w:r>
    </w:p>
    <w:p>
      <w:pPr>
        <w:spacing w:after="0" w:line="150" w:lineRule="exact"/>
        <w:rPr>
          <w:sz w:val="24"/>
          <w:szCs w:val="24"/>
          <w:color w:val="auto"/>
        </w:rPr>
      </w:pPr>
    </w:p>
    <w:p>
      <w:pPr>
        <w:jc w:val="both"/>
        <w:ind w:right="40" w:firstLine="193"/>
        <w:spacing w:after="0" w:line="263" w:lineRule="auto"/>
        <w:rPr>
          <w:sz w:val="20"/>
          <w:szCs w:val="20"/>
          <w:color w:val="auto"/>
        </w:rPr>
      </w:pPr>
      <w:r>
        <w:rPr>
          <w:rFonts w:ascii="Times New Roman" w:cs="Times New Roman" w:eastAsia="Times New Roman" w:hAnsi="Times New Roman"/>
          <w:sz w:val="19"/>
          <w:szCs w:val="19"/>
          <w:color w:val="auto"/>
        </w:rPr>
        <w:t>The exploration and development of continental tight oil in China have made positive progress in recent years, and it shows enormous resource potentials and good development prospects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[1–5]</w:t>
      </w:r>
      <w:r>
        <w:rPr>
          <w:rFonts w:ascii="Times New Roman" w:cs="Times New Roman" w:eastAsia="Times New Roman" w:hAnsi="Times New Roman"/>
          <w:sz w:val="19"/>
          <w:szCs w:val="19"/>
          <w:color w:val="auto"/>
        </w:rPr>
        <w:t>. Continental tight oil has be-come a realistic unconventional petroleum resource in China, and it is an essential supplement to the increase of oil reserves and production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[6]</w:t>
      </w:r>
      <w:r>
        <w:rPr>
          <w:rFonts w:ascii="Times New Roman" w:cs="Times New Roman" w:eastAsia="Times New Roman" w:hAnsi="Times New Roman"/>
          <w:sz w:val="19"/>
          <w:szCs w:val="19"/>
          <w:color w:val="auto"/>
        </w:rPr>
        <w:t>.</w:t>
      </w:r>
    </w:p>
    <w:p>
      <w:pPr>
        <w:spacing w:after="0" w:line="5" w:lineRule="exact"/>
        <w:rPr>
          <w:sz w:val="24"/>
          <w:szCs w:val="24"/>
          <w:color w:val="auto"/>
        </w:rPr>
      </w:pPr>
    </w:p>
    <w:p>
      <w:pPr>
        <w:jc w:val="both"/>
        <w:ind w:firstLine="193"/>
        <w:spacing w:after="0" w:line="269" w:lineRule="auto"/>
        <w:rPr>
          <w:sz w:val="20"/>
          <w:szCs w:val="20"/>
          <w:color w:val="auto"/>
        </w:rPr>
      </w:pPr>
      <w:r>
        <w:rPr>
          <w:rFonts w:ascii="Times New Roman" w:cs="Times New Roman" w:eastAsia="Times New Roman" w:hAnsi="Times New Roman"/>
          <w:sz w:val="19"/>
          <w:szCs w:val="19"/>
          <w:color w:val="auto"/>
        </w:rPr>
        <w:t>Continental tight oil in China is widely developed in basins of Ordos, Songliao, Junggar, Santanghu, Bohai Bay, Qaidam and Sichuan, which cover the eastern, central, and western regions of China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[6]</w:t>
      </w:r>
      <w:r>
        <w:rPr>
          <w:rFonts w:ascii="Times New Roman" w:cs="Times New Roman" w:eastAsia="Times New Roman" w:hAnsi="Times New Roman"/>
          <w:sz w:val="19"/>
          <w:szCs w:val="19"/>
          <w:color w:val="auto"/>
        </w:rPr>
        <w:t>. The tight oil-bearing strata include the Permian Lucaogou Formation, the Permian Tiaohu Formation, the Triassic Yanchang Formation, the Da’anzhai section of the Jurassic Ziliujing Formation, the Cretaceous Qingshankou and Quantou formations, the Paleogene Shahejie Formation, and the Paleogene Lower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80645</wp:posOffset>
                </wp:positionV>
                <wp:extent cx="10807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07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6.35pt" to="85.25pt,6.35pt" o:allowincell="f" strokecolor="#000000" strokeweight="0.48pt"/>
            </w:pict>
          </mc:Fallback>
        </mc:AlternateContent>
      </w:r>
    </w:p>
    <w:p>
      <w:pPr>
        <w:spacing w:after="0" w:line="209"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b w:val="1"/>
          <w:bCs w:val="1"/>
          <w:color w:val="auto"/>
        </w:rPr>
        <w:t>Received date:</w:t>
      </w:r>
      <w:r>
        <w:rPr>
          <w:rFonts w:ascii="Times New Roman" w:cs="Times New Roman" w:eastAsia="Times New Roman" w:hAnsi="Times New Roman"/>
          <w:sz w:val="15"/>
          <w:szCs w:val="15"/>
          <w:color w:val="auto"/>
        </w:rPr>
        <w:t xml:space="preserve"> 27 Jul. 2022; </w:t>
      </w:r>
      <w:r>
        <w:rPr>
          <w:rFonts w:ascii="Times New Roman" w:cs="Times New Roman" w:eastAsia="Times New Roman" w:hAnsi="Times New Roman"/>
          <w:sz w:val="15"/>
          <w:szCs w:val="15"/>
          <w:b w:val="1"/>
          <w:bCs w:val="1"/>
          <w:color w:val="auto"/>
        </w:rPr>
        <w:t>Revised date:</w:t>
      </w:r>
      <w:r>
        <w:rPr>
          <w:rFonts w:ascii="Times New Roman" w:cs="Times New Roman" w:eastAsia="Times New Roman" w:hAnsi="Times New Roman"/>
          <w:sz w:val="15"/>
          <w:szCs w:val="15"/>
          <w:color w:val="auto"/>
        </w:rPr>
        <w:t xml:space="preserve"> 30 Mar. 2023.</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58" w:lineRule="exact"/>
        <w:rPr>
          <w:sz w:val="24"/>
          <w:szCs w:val="24"/>
          <w:color w:val="auto"/>
        </w:rPr>
      </w:pPr>
    </w:p>
    <w:p>
      <w:pPr>
        <w:jc w:val="both"/>
        <w:spacing w:after="0" w:line="266" w:lineRule="auto"/>
        <w:rPr>
          <w:sz w:val="20"/>
          <w:szCs w:val="20"/>
          <w:color w:val="auto"/>
        </w:rPr>
      </w:pPr>
      <w:r>
        <w:rPr>
          <w:rFonts w:ascii="Times New Roman" w:cs="Times New Roman" w:eastAsia="Times New Roman" w:hAnsi="Times New Roman"/>
          <w:sz w:val="19"/>
          <w:szCs w:val="19"/>
          <w:color w:val="auto"/>
        </w:rPr>
        <w:t>Ganchaigou Formation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[7–13]</w:t>
      </w:r>
      <w:r>
        <w:rPr>
          <w:rFonts w:ascii="Times New Roman" w:cs="Times New Roman" w:eastAsia="Times New Roman" w:hAnsi="Times New Roman"/>
          <w:sz w:val="19"/>
          <w:szCs w:val="19"/>
          <w:color w:val="auto"/>
        </w:rPr>
        <w:t>. Different basins and strata have formed a variety of lithological tight reservoirs, in-cluding tight sandstones, mixed rocks, tuffs and carbon-ate rocks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[6]</w:t>
      </w:r>
      <w:r>
        <w:rPr>
          <w:rFonts w:ascii="Times New Roman" w:cs="Times New Roman" w:eastAsia="Times New Roman" w:hAnsi="Times New Roman"/>
          <w:sz w:val="19"/>
          <w:szCs w:val="19"/>
          <w:color w:val="auto"/>
        </w:rPr>
        <w:t>. Many systematic studies were carried out on the development areas of different types of continental tight oil reservoirs, together with the formation condi-tions and distribution characteristics. For the distribu-tion law, it has been clear that tight oil is distributed continuously over a large area. However, the degree of enrichment varies greatly, and it is symbiotic with high-quality source rocks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 14–15]</w:t>
      </w:r>
      <w:r>
        <w:rPr>
          <w:rFonts w:ascii="Times New Roman" w:cs="Times New Roman" w:eastAsia="Times New Roman" w:hAnsi="Times New Roman"/>
          <w:sz w:val="19"/>
          <w:szCs w:val="19"/>
          <w:color w:val="auto"/>
        </w:rPr>
        <w:t>. In terms of formation, migration and accumulation mechanisms, the core mechanism for tight oil is revealed as “near-source ac-cumulation”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[14–15]</w:t>
      </w:r>
      <w:r>
        <w:rPr>
          <w:rFonts w:ascii="Times New Roman" w:cs="Times New Roman" w:eastAsia="Times New Roman" w:hAnsi="Times New Roman"/>
          <w:sz w:val="19"/>
          <w:szCs w:val="19"/>
          <w:color w:val="auto"/>
        </w:rPr>
        <w:t xml:space="preserve"> without experiencing large-scale and long-distance migration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[16]</w:t>
      </w:r>
      <w:r>
        <w:rPr>
          <w:rFonts w:ascii="Times New Roman" w:cs="Times New Roman" w:eastAsia="Times New Roman" w:hAnsi="Times New Roman"/>
          <w:sz w:val="19"/>
          <w:szCs w:val="19"/>
          <w:color w:val="auto"/>
        </w:rPr>
        <w:t>, and driven by pressure in-duced by hydrocarbon generation and expulsion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[17]</w:t>
      </w:r>
      <w:r>
        <w:rPr>
          <w:rFonts w:ascii="Times New Roman" w:cs="Times New Roman" w:eastAsia="Times New Roman" w:hAnsi="Times New Roman"/>
          <w:sz w:val="19"/>
          <w:szCs w:val="19"/>
          <w:color w:val="auto"/>
        </w:rPr>
        <w:t>; dif-ferential pressure charging as well as local rapid migra-</w:t>
      </w:r>
    </w:p>
    <w:p>
      <w:pPr>
        <w:spacing w:after="0" w:line="680" w:lineRule="exact"/>
        <w:rPr>
          <w:sz w:val="24"/>
          <w:szCs w:val="24"/>
          <w:color w:val="auto"/>
        </w:rPr>
      </w:pPr>
    </w:p>
    <w:p>
      <w:pPr>
        <w:sectPr>
          <w:pgSz w:w="11900" w:h="16840" w:orient="portrait"/>
          <w:cols w:equalWidth="0" w:num="2">
            <w:col w:w="4800" w:space="420"/>
            <w:col w:w="4760"/>
          </w:cols>
          <w:pgMar w:left="960" w:top="980" w:right="964" w:bottom="411" w:gutter="0" w:footer="0" w:header="0"/>
          <w:type w:val="continuous"/>
        </w:sectPr>
      </w:pPr>
    </w:p>
    <w:p>
      <w:pPr>
        <w:ind w:left="120" w:hanging="116"/>
        <w:spacing w:after="0"/>
        <w:tabs>
          <w:tab w:leader="none" w:pos="120" w:val="left"/>
        </w:tabs>
        <w:numPr>
          <w:ilvl w:val="0"/>
          <w:numId w:val="2"/>
        </w:numPr>
        <w:rPr>
          <w:rFonts w:ascii="Times New Roman" w:cs="Times New Roman" w:eastAsia="Times New Roman" w:hAnsi="Times New Roman"/>
          <w:sz w:val="15"/>
          <w:szCs w:val="15"/>
          <w:b w:val="1"/>
          <w:bCs w:val="1"/>
          <w:color w:val="auto"/>
        </w:rPr>
      </w:pPr>
      <w:r>
        <w:rPr>
          <w:rFonts w:ascii="Times New Roman" w:cs="Times New Roman" w:eastAsia="Times New Roman" w:hAnsi="Times New Roman"/>
          <w:sz w:val="15"/>
          <w:szCs w:val="15"/>
          <w:b w:val="1"/>
          <w:bCs w:val="1"/>
          <w:color w:val="auto"/>
        </w:rPr>
        <w:t>Corresponding author.</w:t>
      </w:r>
      <w:r>
        <w:rPr>
          <w:rFonts w:ascii="Times New Roman" w:cs="Times New Roman" w:eastAsia="Times New Roman" w:hAnsi="Times New Roman"/>
          <w:sz w:val="15"/>
          <w:szCs w:val="15"/>
          <w:color w:val="auto"/>
        </w:rPr>
        <w:t xml:space="preserve"> E-mail: tsz@petrochina.com.cn</w:t>
      </w:r>
    </w:p>
    <w:p>
      <w:pPr>
        <w:spacing w:after="0" w:line="27"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b w:val="1"/>
          <w:bCs w:val="1"/>
          <w:color w:val="auto"/>
        </w:rPr>
        <w:t>Foundation item:</w:t>
      </w:r>
      <w:r>
        <w:rPr>
          <w:rFonts w:ascii="Times New Roman" w:cs="Times New Roman" w:eastAsia="Times New Roman" w:hAnsi="Times New Roman"/>
          <w:sz w:val="15"/>
          <w:szCs w:val="15"/>
          <w:color w:val="auto"/>
        </w:rPr>
        <w:t xml:space="preserve"> Supported by the National Science and Technology Major Project of China (2016ZX05046-001).</w:t>
      </w:r>
    </w:p>
    <w:p>
      <w:pPr>
        <w:spacing w:after="0" w:line="11"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https://doi.org/10.1016/S1876-3804(23)60409-4</w:t>
      </w:r>
    </w:p>
    <w:p>
      <w:pPr>
        <w:spacing w:after="0" w:line="25" w:lineRule="exact"/>
        <w:rPr>
          <w:sz w:val="24"/>
          <w:szCs w:val="24"/>
          <w:color w:val="auto"/>
        </w:rPr>
      </w:pPr>
    </w:p>
    <w:p>
      <w:pPr>
        <w:spacing w:after="0" w:line="233" w:lineRule="auto"/>
        <w:rPr>
          <w:sz w:val="20"/>
          <w:szCs w:val="20"/>
          <w:color w:val="auto"/>
        </w:rPr>
      </w:pPr>
      <w:r>
        <w:rPr>
          <w:rFonts w:ascii="Times New Roman" w:cs="Times New Roman" w:eastAsia="Times New Roman" w:hAnsi="Times New Roman"/>
          <w:sz w:val="15"/>
          <w:szCs w:val="15"/>
          <w:color w:val="auto"/>
        </w:rPr>
        <w:t>Copyright © 2023, Research Institute of Petroleum Exploration and Development Co., Ltd., CNPC (RIPED). Publishing Services provided by Elsevier B.V. on behalf of KeAi Communications Co., Ltd. This is an open access article under the CC BY-NC-ND license (http://creativecommons.org/licenses/by-nc-nd/4.0/).</w:t>
      </w:r>
    </w:p>
    <w:p>
      <w:pPr>
        <w:sectPr>
          <w:pgSz w:w="11900" w:h="16840" w:orient="portrait"/>
          <w:cols w:equalWidth="0" w:num="1">
            <w:col w:w="9980"/>
          </w:cols>
          <w:pgMar w:left="960" w:top="980" w:right="964" w:bottom="411" w:gutter="0" w:footer="0" w:header="0"/>
          <w:type w:val="continuous"/>
        </w:sectPr>
      </w:pPr>
    </w:p>
    <w:bookmarkStart w:id="1" w:name="page2"/>
    <w:bookmarkEnd w:id="1"/>
    <w:p>
      <w:pPr>
        <w:spacing w:after="0" w:line="180" w:lineRule="auto"/>
        <w:framePr w:w="720" w:h="147" w:wrap="auto" w:vAnchor="page" w:hAnchor="page" w:x="5100" w:y="4628"/>
        <w:rPr>
          <w:rFonts w:ascii="Times New Roman" w:cs="Times New Roman" w:eastAsia="Times New Roman" w:hAnsi="Times New Roman"/>
          <w:sz w:val="8"/>
          <w:szCs w:val="8"/>
          <w:color w:val="auto"/>
        </w:rPr>
      </w:pPr>
      <w:r>
        <w:rPr>
          <w:rFonts w:ascii="Times New Roman" w:cs="Times New Roman" w:eastAsia="Times New Roman" w:hAnsi="Times New Roman"/>
          <w:sz w:val="8"/>
          <w:szCs w:val="8"/>
          <w:color w:val="auto"/>
        </w:rPr>
        <w:t>[6, 15, 18–20]</w:t>
      </w:r>
      <w:r>
        <w:rPr>
          <w:rFonts w:ascii="Times New Roman" w:cs="Times New Roman" w:eastAsia="Times New Roman" w:hAnsi="Times New Roman"/>
          <w:sz w:val="17"/>
          <w:szCs w:val="17"/>
          <w:color w:val="auto"/>
          <w:vertAlign w:val="subscript"/>
        </w:rPr>
        <w:t>.</w:t>
      </w:r>
    </w:p>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HU Suyun et al. / Petroleum Exploration and Development, 2023, 50(3): 547–557</w:t>
      </w:r>
    </w:p>
    <w:p>
      <w:pPr>
        <w:sectPr>
          <w:pgSz w:w="11900" w:h="16840" w:orient="portrait"/>
          <w:cols w:equalWidth="0" w:num="1">
            <w:col w:w="9980"/>
          </w:cols>
          <w:pgMar w:left="960" w:top="1015" w:right="964" w:bottom="411" w:gutter="0" w:footer="0" w:header="0"/>
        </w:sectPr>
      </w:pPr>
    </w:p>
    <w:p>
      <w:pPr>
        <w:spacing w:after="0" w:line="327" w:lineRule="exact"/>
        <w:rPr>
          <w:rFonts w:ascii="Times New Roman" w:cs="Times New Roman" w:eastAsia="Times New Roman" w:hAnsi="Times New Roman"/>
          <w:sz w:val="8"/>
          <w:szCs w:val="8"/>
          <w:color w:val="auto"/>
        </w:rPr>
      </w:pPr>
    </w:p>
    <w:p>
      <w:pPr>
        <w:jc w:val="both"/>
        <w:spacing w:after="0" w:line="257" w:lineRule="auto"/>
        <w:rPr>
          <w:sz w:val="20"/>
          <w:szCs w:val="20"/>
          <w:color w:val="auto"/>
        </w:rPr>
      </w:pPr>
      <w:r>
        <w:rPr>
          <w:rFonts w:ascii="Times New Roman" w:cs="Times New Roman" w:eastAsia="Times New Roman" w:hAnsi="Times New Roman"/>
          <w:sz w:val="19"/>
          <w:szCs w:val="19"/>
          <w:color w:val="auto"/>
        </w:rPr>
        <w:t>tion of oil along the dominant channel of longitudinal and transverse fractures, large-area unbalanced migra-tion in pore-throat network, and concentrated accumula-tion in the intersection areas of vertical and horizontal fractures are studied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[18]</w:t>
      </w:r>
      <w:r>
        <w:rPr>
          <w:rFonts w:ascii="Times New Roman" w:cs="Times New Roman" w:eastAsia="Times New Roman" w:hAnsi="Times New Roman"/>
          <w:sz w:val="19"/>
          <w:szCs w:val="19"/>
          <w:color w:val="auto"/>
        </w:rPr>
        <w:t>. In terms of the main controlling factors of tight oil enrichment, more than a dozen control factors such as structural background, high-quality source rocks (near hydrocarbon source centers), reservoir sweet spots, including physical properties, thickness, and fa-vorable reservoir facies, hydrocarbon generation and expulsion pressurization, good source-reservoir combina-tion, natural fractures, formation pressure coefficient, oil saturation, crude oil viscosity et al. were sorted out</w:t>
      </w:r>
    </w:p>
    <w:p>
      <w:pPr>
        <w:spacing w:after="0" w:line="262" w:lineRule="exact"/>
        <w:rPr>
          <w:rFonts w:ascii="Times New Roman" w:cs="Times New Roman" w:eastAsia="Times New Roman" w:hAnsi="Times New Roman"/>
          <w:sz w:val="8"/>
          <w:szCs w:val="8"/>
          <w:color w:val="auto"/>
        </w:rPr>
      </w:pPr>
    </w:p>
    <w:p>
      <w:pPr>
        <w:jc w:val="both"/>
        <w:spacing w:after="0" w:line="279" w:lineRule="auto"/>
        <w:rPr>
          <w:sz w:val="20"/>
          <w:szCs w:val="20"/>
          <w:color w:val="auto"/>
        </w:rPr>
      </w:pPr>
      <w:r>
        <w:rPr>
          <w:rFonts w:ascii="Times New Roman" w:cs="Times New Roman" w:eastAsia="Times New Roman" w:hAnsi="Times New Roman"/>
          <w:sz w:val="19"/>
          <w:szCs w:val="19"/>
          <w:color w:val="auto"/>
        </w:rPr>
        <w:t>In addition to the studies focusing on the entire conti-nental tight oil reservoirs, some scholars have carried out specific studies on the tight oil of each sedimentary basin, and further clarified the geological characteristics and unique accumulation mechanisms of different tight oil areas. For example, the Triassic Yanchang Formation of the Ordos Basin, the Cretaceous Qingshankou and Quantou formations of the Songliao Basin, the Permian Lucaogou Formation of the Junggar Basin, the Permian Tiaohu Formation of the Santanghu Basin, the Jurassic Da’anzhai Section of the Sichuan Basin, the Paleogene Sha 4 Member of Leijia area of Liaoxi and the Paleogene lower Ganchaigou Formation in the Zahaquan area of the Qaidam Basin were elaborated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[7–13]</w:t>
      </w:r>
      <w:r>
        <w:rPr>
          <w:rFonts w:ascii="Times New Roman" w:cs="Times New Roman" w:eastAsia="Times New Roman" w:hAnsi="Times New Roman"/>
          <w:sz w:val="19"/>
          <w:szCs w:val="19"/>
          <w:color w:val="auto"/>
        </w:rPr>
        <w:t>.</w:t>
      </w:r>
    </w:p>
    <w:p>
      <w:pPr>
        <w:spacing w:after="0" w:line="256" w:lineRule="exact"/>
        <w:rPr>
          <w:rFonts w:ascii="Times New Roman" w:cs="Times New Roman" w:eastAsia="Times New Roman" w:hAnsi="Times New Roman"/>
          <w:sz w:val="8"/>
          <w:szCs w:val="8"/>
          <w:color w:val="auto"/>
        </w:rPr>
      </w:pPr>
    </w:p>
    <w:p>
      <w:pPr>
        <w:jc w:val="both"/>
        <w:ind w:firstLine="193"/>
        <w:spacing w:after="0" w:line="279" w:lineRule="auto"/>
        <w:rPr>
          <w:sz w:val="20"/>
          <w:szCs w:val="20"/>
          <w:color w:val="auto"/>
        </w:rPr>
      </w:pPr>
      <w:r>
        <w:rPr>
          <w:rFonts w:ascii="Times New Roman" w:cs="Times New Roman" w:eastAsia="Times New Roman" w:hAnsi="Times New Roman"/>
          <w:sz w:val="19"/>
          <w:szCs w:val="19"/>
          <w:color w:val="auto"/>
        </w:rPr>
        <w:t>Comprehensive studies on the basin-scale tight oil ac-cumulation revealed the formation and distribution char-acteristics of continental tight oil in China and provided a solid theoretical foundation for the exploration and de-velopment of tight oil in China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[21–23]</w:t>
      </w:r>
      <w:r>
        <w:rPr>
          <w:rFonts w:ascii="Times New Roman" w:cs="Times New Roman" w:eastAsia="Times New Roman" w:hAnsi="Times New Roman"/>
          <w:sz w:val="19"/>
          <w:szCs w:val="19"/>
          <w:color w:val="auto"/>
        </w:rPr>
        <w:t>. However, due to the different sedimentary environments, hydrocarbon source qualities, reservoir physical properties, and source-reser-voir configurations, the processes of tight oil migration within the reservoirs are unclear. It is necessary to analyze the microscopic migration and accumulation mechanism of tight oil and then determine the main controlling fac-tors of tight oil enrichment to provide theoretical support for further improving the evaluation index system, evaluat-ing the optimal tight oil enrichment area, and selecting effective sweet spot area (segment). This paper reveals the charging, migration, and accumulation mechanisms of tight oil by physical and numerical simulations and taking tight oil in major continental lake basins as cases, analyzes the factors affecting tight oil enrichment, with the intent to provide technical supports for efficient ex-ploration and development of tight oil in China.</w:t>
      </w:r>
    </w:p>
    <w:p>
      <w:pPr>
        <w:spacing w:after="0" w:line="94" w:lineRule="exact"/>
        <w:rPr>
          <w:rFonts w:ascii="Times New Roman" w:cs="Times New Roman" w:eastAsia="Times New Roman" w:hAnsi="Times New Roman"/>
          <w:sz w:val="8"/>
          <w:szCs w:val="8"/>
          <w:color w:val="auto"/>
        </w:rPr>
      </w:pPr>
    </w:p>
    <w:p>
      <w:pPr>
        <w:ind w:left="380" w:hanging="376"/>
        <w:spacing w:after="0"/>
        <w:tabs>
          <w:tab w:leader="none" w:pos="380" w:val="left"/>
        </w:tabs>
        <w:numPr>
          <w:ilvl w:val="0"/>
          <w:numId w:val="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Experimental methods and samples</w:t>
      </w:r>
    </w:p>
    <w:p>
      <w:pPr>
        <w:spacing w:after="0" w:line="174" w:lineRule="exact"/>
        <w:rPr>
          <w:rFonts w:ascii="Times New Roman" w:cs="Times New Roman" w:eastAsia="Times New Roman" w:hAnsi="Times New Roman"/>
          <w:sz w:val="8"/>
          <w:szCs w:val="8"/>
          <w:color w:val="auto"/>
        </w:rPr>
      </w:pPr>
    </w:p>
    <w:p>
      <w:pPr>
        <w:jc w:val="both"/>
        <w:ind w:firstLine="193"/>
        <w:spacing w:after="0" w:line="277" w:lineRule="auto"/>
        <w:rPr>
          <w:sz w:val="20"/>
          <w:szCs w:val="20"/>
          <w:color w:val="auto"/>
        </w:rPr>
      </w:pPr>
      <w:r>
        <w:rPr>
          <w:rFonts w:ascii="Times New Roman" w:cs="Times New Roman" w:eastAsia="Times New Roman" w:hAnsi="Times New Roman"/>
          <w:sz w:val="19"/>
          <w:szCs w:val="19"/>
          <w:color w:val="auto"/>
        </w:rPr>
        <w:t>Simulation for crude oil charging, migration, and ac-cumulation can be conducted by physical and numerical methods. Physical simulation methods include seg-mented constant pressure, computed tomography (CT) displacement, and nuclear magnetic resonance coupling</w:t>
      </w:r>
    </w:p>
    <w:p>
      <w:pPr>
        <w:spacing w:after="0" w:line="20" w:lineRule="exact"/>
        <w:rPr>
          <w:rFonts w:ascii="Times New Roman" w:cs="Times New Roman" w:eastAsia="Times New Roman" w:hAnsi="Times New Roman"/>
          <w:sz w:val="8"/>
          <w:szCs w:val="8"/>
          <w:color w:val="auto"/>
        </w:rPr>
      </w:pPr>
      <w:r>
        <w:rPr>
          <w:rFonts w:ascii="Times New Roman" w:cs="Times New Roman" w:eastAsia="Times New Roman" w:hAnsi="Times New Roman"/>
          <w:sz w:val="8"/>
          <w:szCs w:val="8"/>
          <w:color w:val="auto"/>
        </w:rPr>
        <w:br w:type="column"/>
      </w:r>
    </w:p>
    <w:p>
      <w:pPr>
        <w:spacing w:after="0" w:line="306" w:lineRule="exact"/>
        <w:rPr>
          <w:rFonts w:ascii="Times New Roman" w:cs="Times New Roman" w:eastAsia="Times New Roman" w:hAnsi="Times New Roman"/>
          <w:sz w:val="8"/>
          <w:szCs w:val="8"/>
          <w:color w:val="auto"/>
        </w:rPr>
      </w:pPr>
    </w:p>
    <w:p>
      <w:pPr>
        <w:jc w:val="both"/>
        <w:spacing w:after="0" w:line="279" w:lineRule="auto"/>
        <w:rPr>
          <w:sz w:val="20"/>
          <w:szCs w:val="20"/>
          <w:color w:val="auto"/>
        </w:rPr>
      </w:pPr>
      <w:r>
        <w:rPr>
          <w:rFonts w:ascii="Times New Roman" w:cs="Times New Roman" w:eastAsia="Times New Roman" w:hAnsi="Times New Roman"/>
          <w:sz w:val="19"/>
          <w:szCs w:val="19"/>
          <w:color w:val="auto"/>
        </w:rPr>
        <w:t>displacement (NMR-DP) measurements. The segmented constant pressure method cannot reflect the distribution of fluids in different pore sizes, and the CT displacement method cannot solve the contradiction between the field of view and resolution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[24]</w:t>
      </w:r>
      <w:r>
        <w:rPr>
          <w:rFonts w:ascii="Times New Roman" w:cs="Times New Roman" w:eastAsia="Times New Roman" w:hAnsi="Times New Roman"/>
          <w:sz w:val="19"/>
          <w:szCs w:val="19"/>
          <w:color w:val="auto"/>
        </w:rPr>
        <w:t>. So far, NMR-DP method is considered the most suitable physical simulation for tight oil charging</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[24]</w:t>
      </w:r>
      <w:r>
        <w:rPr>
          <w:rFonts w:ascii="Times New Roman" w:cs="Times New Roman" w:eastAsia="Times New Roman" w:hAnsi="Times New Roman"/>
          <w:sz w:val="19"/>
          <w:szCs w:val="19"/>
          <w:color w:val="auto"/>
        </w:rPr>
        <w:t>. The numerical simulation builds a pore-throat model or reconstructs a three-dimensional digital core model based on CT, focused ion beam scan-ning electron microscopy (FIB-SEM) and other experi-ment data, and uses Lattice Boltzmann, molecular dy-namics, or other methods to simulate microscopic fluid migration and accumulation. However, the tight oil charging simulation in a simple pore-throat model can-not reflect the flow complexity in rock. Therefore, recon-structing a three-dimensional digital core model is a more effective method for numerical simulation of the tight oil charging process. NMR-DP physical simulation reflects tight oil charging process by analyzing the nu-clear magnetic signals collected during the displacement. This experiment uses fluorine oil (fluoride liquid, Type FC-40) without the hydrogen signal to displace formation water in the rock core. Since the formation water has hydrogen signals, the standard brine with 8500 mg/L salinity was prepared according to the formation water data. The volume of water detected in the NMR lateral relaxation time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xml:space="preserve">) spectra during the flooding process continuously reduces, and the signal amplitude consecu-tively decreases, reflecting the process that fluorine oil constantly displaces the formation water in the pores. The specific steps are as follows: (1) Before the experi-ment, the sample was washed with oil, dried, and weighed. Measure the porosity and permeability with gas and test the NMR response of the dry sample; (2) Vac-uum and pressurize to 15 MPa, saturate with formation water, weigh, and test the NMR response of the saturated sample; (3) First displace at a constant velocity (0.05 mL/min), and measure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xml:space="preserve"> spectra every 10 min to observe the change. When the signal amplitude of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xml:space="preserve"> spectra changes significantly, it means the displacement has be-gun. Keep displacing at constant pressure; (4) When the signal amplitudes of two consecutive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xml:space="preserve"> spectra do not change significantly, increase the inlet pressure. Stop displacing until the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xml:space="preserve"> spectra keep stable at higher pressure. For experimental instruments, experimental procedures, conditional parameters, and data processing, please refer to Reference [24]. The Lattice Boltzmann numerical simulation adopts the D3Q27 model to simu-late the effects of charging pressure, wettability, and mi-crofractures (fracture direction, opening, length) on the charging results of tight oil, where “3” represents the dimension of the lattice model and “27” represents the number of lattice velocity vectors. The solid boundary adopts the rebounce model in the Lattice Boltzmann model. The simulated physical space step is 1×10</w:t>
      </w:r>
      <w:r>
        <w:rPr>
          <w:rFonts w:ascii="Times New Roman" w:cs="Times New Roman" w:eastAsia="Times New Roman" w:hAnsi="Times New Roman"/>
          <w:sz w:val="22"/>
          <w:szCs w:val="22"/>
          <w:color w:val="auto"/>
          <w:vertAlign w:val="superscript"/>
        </w:rPr>
        <w:t>−7</w:t>
      </w:r>
      <w:r>
        <w:rPr>
          <w:rFonts w:ascii="Times New Roman" w:cs="Times New Roman" w:eastAsia="Times New Roman" w:hAnsi="Times New Roman"/>
          <w:sz w:val="19"/>
          <w:szCs w:val="19"/>
          <w:color w:val="auto"/>
        </w:rPr>
        <w:t xml:space="preserve"> m, the</w:t>
      </w:r>
    </w:p>
    <w:p>
      <w:pPr>
        <w:spacing w:after="0" w:line="804" w:lineRule="exact"/>
        <w:rPr>
          <w:rFonts w:ascii="Times New Roman" w:cs="Times New Roman" w:eastAsia="Times New Roman" w:hAnsi="Times New Roman"/>
          <w:sz w:val="8"/>
          <w:szCs w:val="8"/>
          <w:color w:val="auto"/>
        </w:rPr>
      </w:pPr>
    </w:p>
    <w:p>
      <w:pPr>
        <w:sectPr>
          <w:pgSz w:w="11900" w:h="16840" w:orient="portrait"/>
          <w:cols w:equalWidth="0" w:num="2">
            <w:col w:w="4760" w:space="460"/>
            <w:col w:w="4760"/>
          </w:cols>
          <w:pgMar w:left="960" w:top="1015" w:right="964" w:bottom="411" w:gutter="0" w:footer="0" w:header="0"/>
          <w:type w:val="continuous"/>
        </w:sectPr>
      </w:pPr>
    </w:p>
    <w:p>
      <w:pPr>
        <w:jc w:val="center"/>
        <w:spacing w:after="0"/>
        <w:rPr>
          <w:sz w:val="20"/>
          <w:szCs w:val="20"/>
          <w:color w:val="auto"/>
        </w:rPr>
      </w:pPr>
      <w:r>
        <w:rPr>
          <w:rFonts w:ascii="Times New Roman" w:cs="Times New Roman" w:eastAsia="Times New Roman" w:hAnsi="Times New Roman"/>
          <w:sz w:val="18"/>
          <w:szCs w:val="18"/>
          <w:color w:val="auto"/>
        </w:rPr>
        <w:t>548</w:t>
      </w:r>
    </w:p>
    <w:p>
      <w:pPr>
        <w:sectPr>
          <w:pgSz w:w="11900" w:h="16840" w:orient="portrait"/>
          <w:cols w:equalWidth="0" w:num="1">
            <w:col w:w="9980"/>
          </w:cols>
          <w:pgMar w:left="960" w:top="1015" w:right="964" w:bottom="411" w:gutter="0" w:footer="0" w:header="0"/>
          <w:type w:val="continuous"/>
        </w:sectPr>
      </w:pPr>
    </w:p>
    <w:bookmarkStart w:id="2" w:name="page3"/>
    <w:bookmarkEnd w:id="2"/>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HU Suyun et al. / Petroleum Exploration and Development, 2023, 50(3): 547–557</w:t>
      </w:r>
    </w:p>
    <w:p>
      <w:pPr>
        <w:sectPr>
          <w:pgSz w:w="11900" w:h="16840" w:orient="portrait"/>
          <w:cols w:equalWidth="0" w:num="1">
            <w:col w:w="9980"/>
          </w:cols>
          <w:pgMar w:left="960" w:top="1015" w:right="964" w:bottom="411" w:gutter="0" w:footer="0" w:header="0"/>
        </w:sectPr>
      </w:pPr>
    </w:p>
    <w:p>
      <w:pPr>
        <w:spacing w:after="0" w:line="322" w:lineRule="exact"/>
        <w:rPr>
          <w:sz w:val="20"/>
          <w:szCs w:val="20"/>
          <w:color w:val="auto"/>
        </w:rPr>
      </w:pPr>
    </w:p>
    <w:p>
      <w:pPr>
        <w:jc w:val="both"/>
        <w:ind w:right="220"/>
        <w:spacing w:after="0" w:line="268" w:lineRule="auto"/>
        <w:rPr>
          <w:sz w:val="20"/>
          <w:szCs w:val="20"/>
          <w:color w:val="auto"/>
        </w:rPr>
      </w:pPr>
      <w:r>
        <w:rPr>
          <w:rFonts w:ascii="Times New Roman" w:cs="Times New Roman" w:eastAsia="Times New Roman" w:hAnsi="Times New Roman"/>
          <w:sz w:val="19"/>
          <w:szCs w:val="19"/>
          <w:color w:val="auto"/>
        </w:rPr>
        <w:t>physical time step is 1×10</w:t>
      </w:r>
      <w:r>
        <w:rPr>
          <w:rFonts w:ascii="Times New Roman" w:cs="Times New Roman" w:eastAsia="Times New Roman" w:hAnsi="Times New Roman"/>
          <w:sz w:val="22"/>
          <w:szCs w:val="22"/>
          <w:color w:val="auto"/>
          <w:vertAlign w:val="superscript"/>
        </w:rPr>
        <w:t>−9</w:t>
      </w:r>
      <w:r>
        <w:rPr>
          <w:rFonts w:ascii="Times New Roman" w:cs="Times New Roman" w:eastAsia="Times New Roman" w:hAnsi="Times New Roman"/>
          <w:sz w:val="19"/>
          <w:szCs w:val="19"/>
          <w:color w:val="auto"/>
        </w:rPr>
        <w:t xml:space="preserve"> s, and the physical character-istic velocity is 1×10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m/s. Before the simulation, the ZEISS CT 3DX ray microscope is used to scan the sample with a scanning resolution of 100 μm and a scanning field of view of 1747 μm. The CT scan image is then encrypted, filtered, threshold segmented, and binarized to obtain a three-dimensional digital core of the tight sandstone sample. To reduce the simulation time, a model of 210 μm× 80 μm×40 μm is extracted from the reconstructed 3D digital core as a simulation platform for oil-flooding-water, with a simulation pixel accuracy of 0.1 μm and an interval of 0.1 s between the output results during simulation. The model parameters are as follows: the simulated tem-perature is 100 °C, the pressure is 19 MPa, the simulated formation water viscosity is 1.0 mPa·s, the simulated formation crude oil viscosity is 1.45 mPa·s, the simulated aqueous phase density is 1.00 g/cm</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and the simulated crude oil density is 0.78 g/cm</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During the numerical simulation, the effects of charging pressure, wettability, and microfractures (fracture direction, opening, length) on the charging results of tight oil were tested. The model and simulation conditions used in the Lattice Boltzmann numerical simulation refer to references [25–26].</w:t>
      </w:r>
    </w:p>
    <w:p>
      <w:pPr>
        <w:spacing w:after="0" w:line="298" w:lineRule="exact"/>
        <w:rPr>
          <w:sz w:val="20"/>
          <w:szCs w:val="20"/>
          <w:color w:val="auto"/>
        </w:rPr>
      </w:pPr>
    </w:p>
    <w:p>
      <w:pPr>
        <w:jc w:val="both"/>
        <w:ind w:right="160" w:firstLine="193"/>
        <w:spacing w:after="0" w:line="277" w:lineRule="auto"/>
        <w:rPr>
          <w:sz w:val="20"/>
          <w:szCs w:val="20"/>
          <w:color w:val="auto"/>
        </w:rPr>
      </w:pPr>
      <w:r>
        <w:rPr>
          <w:rFonts w:ascii="Times New Roman" w:cs="Times New Roman" w:eastAsia="Times New Roman" w:hAnsi="Times New Roman"/>
          <w:sz w:val="19"/>
          <w:szCs w:val="19"/>
          <w:color w:val="auto"/>
        </w:rPr>
        <w:t>To reflect the charging characteristics of different types of tight oil, siltstone of the Cretaceous Qingshankou For-mation in the Songliao Basin, tuff of the Permian Tiaohu Formation in the Santanghu Basin, basalt and mixed rock of the Permian Lucaogou Formation were selected for simula-tion experiments (Table 1). The samples of the Qingshankou Formation in the Songliao Basin for NMR-DP experi-ments are siltstone, but their physical properties and fracture development are different. The samples from the Santanghu Basin used for NMR-DP simulation are dif-ferent too. Two tuff samples have impenetrable fractures (M56-3, M56H-4), one has penetrating fractures (M702-3), a basalt sample (T25-1) has underdeveloped fractures, and one sample is mixed rock (M56-6).</w:t>
      </w:r>
    </w:p>
    <w:p>
      <w:pPr>
        <w:spacing w:after="0" w:line="88" w:lineRule="exact"/>
        <w:rPr>
          <w:sz w:val="20"/>
          <w:szCs w:val="20"/>
          <w:color w:val="auto"/>
        </w:rPr>
      </w:pPr>
    </w:p>
    <w:p>
      <w:pPr>
        <w:spacing w:after="0"/>
        <w:tabs>
          <w:tab w:leader="none" w:pos="780" w:val="left"/>
        </w:tabs>
        <w:rPr>
          <w:sz w:val="20"/>
          <w:szCs w:val="20"/>
          <w:color w:val="auto"/>
        </w:rPr>
      </w:pPr>
      <w:r>
        <w:rPr>
          <w:rFonts w:ascii="Arial" w:cs="Arial" w:eastAsia="Arial" w:hAnsi="Arial"/>
          <w:sz w:val="17"/>
          <w:szCs w:val="17"/>
          <w:b w:val="1"/>
          <w:bCs w:val="1"/>
          <w:color w:val="auto"/>
        </w:rPr>
        <w:t>Table 1.</w:t>
      </w:r>
      <w:r>
        <w:rPr>
          <w:sz w:val="20"/>
          <w:szCs w:val="20"/>
          <w:color w:val="auto"/>
        </w:rPr>
        <w:tab/>
      </w:r>
      <w:r>
        <w:rPr>
          <w:rFonts w:ascii="Arial" w:cs="Arial" w:eastAsia="Arial" w:hAnsi="Arial"/>
          <w:sz w:val="16"/>
          <w:szCs w:val="16"/>
          <w:b w:val="1"/>
          <w:bCs w:val="1"/>
          <w:color w:val="auto"/>
        </w:rPr>
        <w:t>Sample parameters for NMR-DP physical simulation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44450</wp:posOffset>
            </wp:positionV>
            <wp:extent cx="4215765" cy="171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4215765" cy="171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720"/>
        <w:spacing w:after="0" w:line="231" w:lineRule="auto"/>
        <w:tabs>
          <w:tab w:leader="none" w:pos="397" w:val="left"/>
        </w:tabs>
        <w:numPr>
          <w:ilvl w:val="0"/>
          <w:numId w:val="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Tight oil charging, migration and accumulation in continental lake basins</w:t>
      </w:r>
    </w:p>
    <w:p>
      <w:pPr>
        <w:spacing w:after="0" w:line="175" w:lineRule="exact"/>
        <w:rPr>
          <w:sz w:val="20"/>
          <w:szCs w:val="20"/>
          <w:color w:val="auto"/>
        </w:rPr>
      </w:pPr>
    </w:p>
    <w:p>
      <w:pPr>
        <w:jc w:val="both"/>
        <w:ind w:firstLine="193"/>
        <w:spacing w:after="0" w:line="279" w:lineRule="auto"/>
        <w:rPr>
          <w:sz w:val="20"/>
          <w:szCs w:val="20"/>
          <w:color w:val="auto"/>
        </w:rPr>
      </w:pPr>
      <w:r>
        <w:rPr>
          <w:rFonts w:ascii="Times New Roman" w:cs="Times New Roman" w:eastAsia="Times New Roman" w:hAnsi="Times New Roman"/>
          <w:sz w:val="19"/>
          <w:szCs w:val="19"/>
          <w:color w:val="auto"/>
        </w:rPr>
        <w:t>The study of tight oil charging and migration and ac-cumulation mechanisms is mainly to find the accumula-tion process and control factors. The charging power and resistance of crude oil control the charging and accumu-lation process and determine the degree of enrichment of tight oil. This study simulates the charging process, and reveals the charging and accumulation mechanism to analyze the enrichment factors and select favorable tight oil reservoirs.</w:t>
      </w:r>
    </w:p>
    <w:p>
      <w:pPr>
        <w:spacing w:after="0" w:line="394" w:lineRule="exact"/>
        <w:rPr>
          <w:sz w:val="20"/>
          <w:szCs w:val="20"/>
          <w:color w:val="auto"/>
        </w:rPr>
      </w:pPr>
    </w:p>
    <w:p>
      <w:pPr>
        <w:ind w:right="60"/>
        <w:spacing w:after="0" w:line="278" w:lineRule="auto"/>
        <w:rPr>
          <w:sz w:val="20"/>
          <w:szCs w:val="20"/>
          <w:color w:val="auto"/>
        </w:rPr>
      </w:pPr>
      <w:r>
        <w:rPr>
          <w:rFonts w:ascii="Times New Roman" w:cs="Times New Roman" w:eastAsia="Times New Roman" w:hAnsi="Times New Roman"/>
          <w:sz w:val="19"/>
          <w:szCs w:val="19"/>
          <w:b w:val="1"/>
          <w:bCs w:val="1"/>
          <w:color w:val="auto"/>
        </w:rPr>
        <w:t>2.1. The dynamic forces driving hydrocarbon generation and expulsion of high-quality source rocks are the foundational power that determines the charging efficiency and accumulation of tight oil</w:t>
      </w:r>
    </w:p>
    <w:p>
      <w:pPr>
        <w:spacing w:after="0" w:line="146" w:lineRule="exact"/>
        <w:rPr>
          <w:sz w:val="20"/>
          <w:szCs w:val="20"/>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The charging power formed by pressure and expansion induced by hydrocarbon generation and expulsion of source rock promotes tight oil charging, migration and accumulation. The results of the NMR-DP simulation showed that the fluorine oil (simulating crude oil), when flooding saturated water in different types of tight res-ervoir samples, had quite different starting pressure gra-dients, charging processes, pressure gradients at the end of the charge, and final oil saturations. However, with the increase of the displacement pressure, the oil saturation increased to varying degrees. Taking Santanghu tuff as an example, the starting pressure gradient was low, not ex-ceeding 0.25 MPa/cm, and the oil saturation increased almost linearly during the flooding process. The final oil saturation was stable at about 65% (Fig. 1a). The Lattice Boltzmann numerical simulation results are similar (Fig. 1b) to the numerical simulation results, but the latter show oil saturation changes with pressure and time in details. At constant pressure, the oil saturation shows rapid growth and relatively smooth buffer stages.</w:t>
      </w:r>
    </w:p>
    <w:p>
      <w:pPr>
        <w:spacing w:after="0" w:line="617" w:lineRule="exact"/>
        <w:rPr>
          <w:sz w:val="20"/>
          <w:szCs w:val="20"/>
          <w:color w:val="auto"/>
        </w:rPr>
      </w:pPr>
    </w:p>
    <w:p>
      <w:pPr>
        <w:sectPr>
          <w:pgSz w:w="11900" w:h="16840" w:orient="portrait"/>
          <w:cols w:equalWidth="0" w:num="2">
            <w:col w:w="4980" w:space="240"/>
            <w:col w:w="4760"/>
          </w:cols>
          <w:pgMar w:left="960" w:top="1015" w:right="964" w:bottom="411" w:gutter="0" w:footer="0" w:header="0"/>
          <w:type w:val="continuous"/>
        </w:sectPr>
      </w:pPr>
    </w:p>
    <w:p>
      <w:pPr>
        <w:spacing w:after="0" w:line="119" w:lineRule="exact"/>
        <w:rPr>
          <w:sz w:val="20"/>
          <w:szCs w:val="20"/>
          <w:color w:val="auto"/>
        </w:rPr>
      </w:pPr>
    </w:p>
    <w:p>
      <w:pPr>
        <w:ind w:left="20"/>
        <w:spacing w:after="0"/>
        <w:rPr>
          <w:sz w:val="20"/>
          <w:szCs w:val="20"/>
          <w:color w:val="auto"/>
        </w:rPr>
      </w:pPr>
      <w:r>
        <w:rPr>
          <w:rFonts w:ascii="Arial" w:cs="Arial" w:eastAsia="Arial" w:hAnsi="Arial"/>
          <w:sz w:val="16"/>
          <w:szCs w:val="16"/>
          <w:color w:val="auto"/>
        </w:rPr>
        <w:t>Basin</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tbl>
      <w:tblPr>
        <w:tblLayout w:type="fixed"/>
        <w:tblInd w:w="0" w:type="dxa"/>
        <w:tblCellMar>
          <w:top w:w="0" w:type="dxa"/>
          <w:left w:w="0" w:type="dxa"/>
          <w:bottom w:w="0" w:type="dxa"/>
          <w:right w:w="0" w:type="dxa"/>
        </w:tblCellMar>
      </w:tblPr>
      <w:tr>
        <w:trPr>
          <w:trHeight w:val="1760"/>
        </w:trPr>
        <w:tc>
          <w:tcPr>
            <w:tcW w:w="200" w:type="dxa"/>
            <w:vAlign w:val="bottom"/>
            <w:textDirection w:val="btLr"/>
          </w:tcPr>
          <w:p>
            <w:pPr>
              <w:ind w:left="5"/>
              <w:spacing w:after="0"/>
              <w:rPr>
                <w:sz w:val="20"/>
                <w:szCs w:val="20"/>
                <w:color w:val="auto"/>
              </w:rPr>
            </w:pPr>
            <w:r>
              <w:rPr>
                <w:rFonts w:ascii="Arial" w:cs="Arial" w:eastAsia="Arial" w:hAnsi="Arial"/>
                <w:sz w:val="17"/>
                <w:szCs w:val="17"/>
                <w:color w:val="auto"/>
              </w:rPr>
              <w:t>Qijia–Longhupao areas</w:t>
            </w:r>
          </w:p>
        </w:tc>
        <w:tc>
          <w:tcPr>
            <w:tcW w:w="200" w:type="dxa"/>
            <w:vAlign w:val="bottom"/>
            <w:textDirection w:val="btLr"/>
          </w:tcPr>
          <w:p>
            <w:pPr>
              <w:spacing w:after="0"/>
              <w:rPr>
                <w:sz w:val="20"/>
                <w:szCs w:val="20"/>
                <w:color w:val="auto"/>
              </w:rPr>
            </w:pPr>
            <w:r>
              <w:rPr>
                <w:rFonts w:ascii="Arial" w:cs="Arial" w:eastAsia="Arial" w:hAnsi="Arial"/>
                <w:sz w:val="17"/>
                <w:szCs w:val="17"/>
                <w:color w:val="auto"/>
              </w:rPr>
              <w:t>in the Songliao Basin</w:t>
            </w:r>
          </w:p>
        </w:tc>
      </w:tr>
      <w:tr>
        <w:trPr>
          <w:trHeight w:val="1496"/>
        </w:trPr>
        <w:tc>
          <w:tcPr>
            <w:tcW w:w="200" w:type="dxa"/>
            <w:vAlign w:val="bottom"/>
            <w:textDirection w:val="btLr"/>
          </w:tcPr>
          <w:p>
            <w:pPr>
              <w:ind w:left="5"/>
              <w:spacing w:after="0"/>
              <w:rPr>
                <w:sz w:val="20"/>
                <w:szCs w:val="20"/>
                <w:color w:val="auto"/>
              </w:rPr>
            </w:pPr>
            <w:r>
              <w:rPr>
                <w:rFonts w:ascii="Arial" w:cs="Arial" w:eastAsia="Arial" w:hAnsi="Arial"/>
                <w:sz w:val="17"/>
                <w:szCs w:val="17"/>
                <w:color w:val="auto"/>
                <w:w w:val="99"/>
              </w:rPr>
              <w:t>Santanghu</w:t>
            </w:r>
          </w:p>
        </w:tc>
        <w:tc>
          <w:tcPr>
            <w:tcW w:w="200" w:type="dxa"/>
            <w:vAlign w:val="bottom"/>
            <w:textDirection w:val="btLr"/>
          </w:tcPr>
          <w:p>
            <w:pPr>
              <w:spacing w:after="0"/>
              <w:rPr>
                <w:sz w:val="20"/>
                <w:szCs w:val="20"/>
                <w:color w:val="auto"/>
              </w:rPr>
            </w:pPr>
            <w:r>
              <w:rPr>
                <w:rFonts w:ascii="Arial" w:cs="Arial" w:eastAsia="Arial" w:hAnsi="Arial"/>
                <w:sz w:val="17"/>
                <w:szCs w:val="17"/>
                <w:color w:val="auto"/>
              </w:rPr>
              <w:t>Basin</w:t>
            </w: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78"/>
        </w:trPr>
        <w:tc>
          <w:tcPr>
            <w:tcW w:w="840" w:type="dxa"/>
            <w:vAlign w:val="bottom"/>
            <w:vMerge w:val="restart"/>
          </w:tcPr>
          <w:p>
            <w:pPr>
              <w:ind w:left="220"/>
              <w:spacing w:after="0"/>
              <w:rPr>
                <w:sz w:val="20"/>
                <w:szCs w:val="20"/>
                <w:color w:val="auto"/>
              </w:rPr>
            </w:pPr>
            <w:r>
              <w:rPr>
                <w:rFonts w:ascii="Arial" w:cs="Arial" w:eastAsia="Arial" w:hAnsi="Arial"/>
                <w:sz w:val="17"/>
                <w:szCs w:val="17"/>
                <w:color w:val="auto"/>
              </w:rPr>
              <w:t>Well</w:t>
            </w:r>
          </w:p>
        </w:tc>
        <w:tc>
          <w:tcPr>
            <w:tcW w:w="720" w:type="dxa"/>
            <w:vAlign w:val="bottom"/>
          </w:tcPr>
          <w:p>
            <w:pPr>
              <w:jc w:val="center"/>
              <w:spacing w:after="0" w:line="179" w:lineRule="exact"/>
              <w:rPr>
                <w:sz w:val="20"/>
                <w:szCs w:val="20"/>
                <w:color w:val="auto"/>
              </w:rPr>
            </w:pPr>
            <w:r>
              <w:rPr>
                <w:rFonts w:ascii="Arial" w:cs="Arial" w:eastAsia="Arial" w:hAnsi="Arial"/>
                <w:sz w:val="17"/>
                <w:szCs w:val="17"/>
                <w:color w:val="auto"/>
              </w:rPr>
              <w:t>Sample</w:t>
            </w:r>
          </w:p>
        </w:tc>
        <w:tc>
          <w:tcPr>
            <w:tcW w:w="740" w:type="dxa"/>
            <w:vAlign w:val="bottom"/>
          </w:tcPr>
          <w:p>
            <w:pPr>
              <w:jc w:val="right"/>
              <w:ind w:right="35"/>
              <w:spacing w:after="0" w:line="179" w:lineRule="exact"/>
              <w:rPr>
                <w:sz w:val="20"/>
                <w:szCs w:val="20"/>
                <w:color w:val="auto"/>
              </w:rPr>
            </w:pPr>
            <w:r>
              <w:rPr>
                <w:rFonts w:ascii="Arial" w:cs="Arial" w:eastAsia="Arial" w:hAnsi="Arial"/>
                <w:sz w:val="17"/>
                <w:szCs w:val="17"/>
                <w:color w:val="auto"/>
              </w:rPr>
              <w:t>Depth/</w:t>
            </w:r>
          </w:p>
        </w:tc>
        <w:tc>
          <w:tcPr>
            <w:tcW w:w="1480" w:type="dxa"/>
            <w:vAlign w:val="bottom"/>
            <w:vMerge w:val="restart"/>
          </w:tcPr>
          <w:p>
            <w:pPr>
              <w:jc w:val="center"/>
              <w:spacing w:after="0"/>
              <w:rPr>
                <w:sz w:val="20"/>
                <w:szCs w:val="20"/>
                <w:color w:val="auto"/>
              </w:rPr>
            </w:pPr>
            <w:r>
              <w:rPr>
                <w:rFonts w:ascii="Arial" w:cs="Arial" w:eastAsia="Arial" w:hAnsi="Arial"/>
                <w:sz w:val="17"/>
                <w:szCs w:val="17"/>
                <w:color w:val="auto"/>
              </w:rPr>
              <w:t>Formation</w:t>
            </w:r>
          </w:p>
        </w:tc>
        <w:tc>
          <w:tcPr>
            <w:tcW w:w="660" w:type="dxa"/>
            <w:vAlign w:val="bottom"/>
          </w:tcPr>
          <w:p>
            <w:pPr>
              <w:jc w:val="center"/>
              <w:spacing w:after="0" w:line="179" w:lineRule="exact"/>
              <w:rPr>
                <w:sz w:val="20"/>
                <w:szCs w:val="20"/>
                <w:color w:val="auto"/>
              </w:rPr>
            </w:pPr>
            <w:r>
              <w:rPr>
                <w:rFonts w:ascii="Arial" w:cs="Arial" w:eastAsia="Arial" w:hAnsi="Arial"/>
                <w:sz w:val="17"/>
                <w:szCs w:val="17"/>
                <w:color w:val="auto"/>
                <w:w w:val="98"/>
              </w:rPr>
              <w:t>Length/</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w w:val="99"/>
              </w:rPr>
              <w:t>Lithology</w:t>
            </w:r>
          </w:p>
        </w:tc>
        <w:tc>
          <w:tcPr>
            <w:tcW w:w="780" w:type="dxa"/>
            <w:vAlign w:val="bottom"/>
          </w:tcPr>
          <w:p>
            <w:pPr>
              <w:jc w:val="center"/>
              <w:spacing w:after="0" w:line="179" w:lineRule="exact"/>
              <w:rPr>
                <w:sz w:val="20"/>
                <w:szCs w:val="20"/>
                <w:color w:val="auto"/>
              </w:rPr>
            </w:pPr>
            <w:r>
              <w:rPr>
                <w:rFonts w:ascii="Arial" w:cs="Arial" w:eastAsia="Arial" w:hAnsi="Arial"/>
                <w:sz w:val="17"/>
                <w:szCs w:val="17"/>
                <w:color w:val="auto"/>
              </w:rPr>
              <w:t>Diameter/</w:t>
            </w:r>
          </w:p>
        </w:tc>
        <w:tc>
          <w:tcPr>
            <w:tcW w:w="1740" w:type="dxa"/>
            <w:vAlign w:val="bottom"/>
            <w:tcBorders>
              <w:top w:val="single" w:sz="8" w:color="auto"/>
            </w:tcBorders>
            <w:gridSpan w:val="2"/>
          </w:tcPr>
          <w:p>
            <w:pPr>
              <w:ind w:left="20"/>
              <w:spacing w:after="0" w:line="179" w:lineRule="exact"/>
              <w:rPr>
                <w:sz w:val="20"/>
                <w:szCs w:val="20"/>
                <w:color w:val="auto"/>
              </w:rPr>
            </w:pPr>
            <w:r>
              <w:rPr>
                <w:rFonts w:ascii="Arial" w:cs="Arial" w:eastAsia="Arial" w:hAnsi="Arial"/>
                <w:sz w:val="17"/>
                <w:szCs w:val="17"/>
                <w:color w:val="auto"/>
              </w:rPr>
              <w:t>Porosity/ Permeability/</w:t>
            </w:r>
          </w:p>
        </w:tc>
        <w:tc>
          <w:tcPr>
            <w:tcW w:w="1620" w:type="dxa"/>
            <w:vAlign w:val="bottom"/>
            <w:tcBorders>
              <w:top w:val="single" w:sz="8" w:color="auto"/>
            </w:tcBorders>
          </w:tcPr>
          <w:p>
            <w:pPr>
              <w:jc w:val="center"/>
              <w:spacing w:after="0" w:line="179" w:lineRule="exact"/>
              <w:rPr>
                <w:sz w:val="20"/>
                <w:szCs w:val="20"/>
                <w:color w:val="auto"/>
              </w:rPr>
            </w:pPr>
            <w:r>
              <w:rPr>
                <w:rFonts w:ascii="Arial" w:cs="Arial" w:eastAsia="Arial" w:hAnsi="Arial"/>
                <w:sz w:val="17"/>
                <w:szCs w:val="17"/>
                <w:color w:val="auto"/>
              </w:rPr>
              <w:t>Fracture</w:t>
            </w:r>
          </w:p>
        </w:tc>
        <w:tc>
          <w:tcPr>
            <w:tcW w:w="0" w:type="dxa"/>
            <w:vAlign w:val="bottom"/>
          </w:tcPr>
          <w:p>
            <w:pPr>
              <w:spacing w:after="0"/>
              <w:rPr>
                <w:sz w:val="1"/>
                <w:szCs w:val="1"/>
                <w:color w:val="auto"/>
              </w:rPr>
            </w:pPr>
          </w:p>
        </w:tc>
      </w:tr>
      <w:tr>
        <w:trPr>
          <w:trHeight w:val="222"/>
        </w:trPr>
        <w:tc>
          <w:tcPr>
            <w:tcW w:w="840" w:type="dxa"/>
            <w:vAlign w:val="bottom"/>
            <w:vMerge w:val="continue"/>
          </w:tcPr>
          <w:p>
            <w:pPr>
              <w:spacing w:after="0"/>
              <w:rPr>
                <w:sz w:val="19"/>
                <w:szCs w:val="19"/>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w w:val="98"/>
              </w:rPr>
              <w:t>No.</w:t>
            </w:r>
          </w:p>
        </w:tc>
        <w:tc>
          <w:tcPr>
            <w:tcW w:w="740" w:type="dxa"/>
            <w:vAlign w:val="bottom"/>
          </w:tcPr>
          <w:p>
            <w:pPr>
              <w:jc w:val="right"/>
              <w:ind w:right="215"/>
              <w:spacing w:after="0"/>
              <w:rPr>
                <w:sz w:val="20"/>
                <w:szCs w:val="20"/>
                <w:color w:val="auto"/>
              </w:rPr>
            </w:pPr>
            <w:r>
              <w:rPr>
                <w:rFonts w:ascii="Arial" w:cs="Arial" w:eastAsia="Arial" w:hAnsi="Arial"/>
                <w:sz w:val="17"/>
                <w:szCs w:val="17"/>
                <w:color w:val="auto"/>
              </w:rPr>
              <w:t>m</w:t>
            </w:r>
          </w:p>
        </w:tc>
        <w:tc>
          <w:tcPr>
            <w:tcW w:w="1480" w:type="dxa"/>
            <w:vAlign w:val="bottom"/>
            <w:vMerge w:val="continue"/>
          </w:tcPr>
          <w:p>
            <w:pPr>
              <w:spacing w:after="0"/>
              <w:rPr>
                <w:sz w:val="19"/>
                <w:szCs w:val="19"/>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cm</w:t>
            </w:r>
          </w:p>
        </w:tc>
        <w:tc>
          <w:tcPr>
            <w:tcW w:w="880" w:type="dxa"/>
            <w:vAlign w:val="bottom"/>
            <w:vMerge w:val="continue"/>
          </w:tcPr>
          <w:p>
            <w:pPr>
              <w:spacing w:after="0"/>
              <w:rPr>
                <w:sz w:val="19"/>
                <w:szCs w:val="19"/>
                <w:color w:val="auto"/>
              </w:rPr>
            </w:pPr>
          </w:p>
        </w:tc>
        <w:tc>
          <w:tcPr>
            <w:tcW w:w="780" w:type="dxa"/>
            <w:vAlign w:val="bottom"/>
          </w:tcPr>
          <w:p>
            <w:pPr>
              <w:jc w:val="center"/>
              <w:spacing w:after="0"/>
              <w:rPr>
                <w:sz w:val="20"/>
                <w:szCs w:val="20"/>
                <w:color w:val="auto"/>
              </w:rPr>
            </w:pPr>
            <w:r>
              <w:rPr>
                <w:rFonts w:ascii="Arial" w:cs="Arial" w:eastAsia="Arial" w:hAnsi="Arial"/>
                <w:sz w:val="17"/>
                <w:szCs w:val="17"/>
                <w:color w:val="auto"/>
                <w:w w:val="96"/>
              </w:rPr>
              <w:t>cm</w:t>
            </w:r>
          </w:p>
        </w:tc>
        <w:tc>
          <w:tcPr>
            <w:tcW w:w="720" w:type="dxa"/>
            <w:vAlign w:val="bottom"/>
          </w:tcPr>
          <w:p>
            <w:pPr>
              <w:jc w:val="center"/>
              <w:spacing w:after="0"/>
              <w:rPr>
                <w:sz w:val="20"/>
                <w:szCs w:val="20"/>
                <w:color w:val="auto"/>
              </w:rPr>
            </w:pPr>
            <w:r>
              <w:rPr>
                <w:rFonts w:ascii="Arial" w:cs="Arial" w:eastAsia="Arial" w:hAnsi="Arial"/>
                <w:sz w:val="17"/>
                <w:szCs w:val="17"/>
                <w:color w:val="auto"/>
                <w:w w:val="92"/>
              </w:rPr>
              <w:t>%</w:t>
            </w:r>
          </w:p>
        </w:tc>
        <w:tc>
          <w:tcPr>
            <w:tcW w:w="1020" w:type="dxa"/>
            <w:vAlign w:val="bottom"/>
          </w:tcPr>
          <w:p>
            <w:pPr>
              <w:ind w:left="160"/>
              <w:spacing w:after="0" w:line="222" w:lineRule="exact"/>
              <w:rPr>
                <w:sz w:val="20"/>
                <w:szCs w:val="20"/>
                <w:color w:val="auto"/>
              </w:rPr>
            </w:pPr>
            <w:r>
              <w:rPr>
                <w:rFonts w:ascii="Arial" w:cs="Arial" w:eastAsia="Arial" w:hAnsi="Arial"/>
                <w:sz w:val="17"/>
                <w:szCs w:val="17"/>
                <w:color w:val="auto"/>
              </w:rPr>
              <w:t>10</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p>
        </w:tc>
        <w:tc>
          <w:tcPr>
            <w:tcW w:w="1620" w:type="dxa"/>
            <w:vAlign w:val="bottom"/>
          </w:tcPr>
          <w:p>
            <w:pPr>
              <w:jc w:val="center"/>
              <w:spacing w:after="0"/>
              <w:rPr>
                <w:sz w:val="20"/>
                <w:szCs w:val="20"/>
                <w:color w:val="auto"/>
              </w:rPr>
            </w:pPr>
            <w:r>
              <w:rPr>
                <w:rFonts w:ascii="Arial" w:cs="Arial" w:eastAsia="Arial" w:hAnsi="Arial"/>
                <w:sz w:val="17"/>
                <w:szCs w:val="17"/>
                <w:color w:val="auto"/>
                <w:w w:val="98"/>
              </w:rPr>
              <w:t>development</w:t>
            </w:r>
          </w:p>
        </w:tc>
        <w:tc>
          <w:tcPr>
            <w:tcW w:w="0" w:type="dxa"/>
            <w:vAlign w:val="bottom"/>
          </w:tcPr>
          <w:p>
            <w:pPr>
              <w:spacing w:after="0"/>
              <w:rPr>
                <w:sz w:val="1"/>
                <w:szCs w:val="1"/>
                <w:color w:val="auto"/>
              </w:rPr>
            </w:pPr>
          </w:p>
        </w:tc>
      </w:tr>
      <w:tr>
        <w:trPr>
          <w:trHeight w:val="196"/>
        </w:trPr>
        <w:tc>
          <w:tcPr>
            <w:tcW w:w="840" w:type="dxa"/>
            <w:vAlign w:val="bottom"/>
          </w:tcPr>
          <w:p>
            <w:pPr>
              <w:jc w:val="center"/>
              <w:spacing w:after="0"/>
              <w:rPr>
                <w:sz w:val="20"/>
                <w:szCs w:val="20"/>
                <w:color w:val="auto"/>
              </w:rPr>
            </w:pPr>
            <w:r>
              <w:rPr>
                <w:rFonts w:ascii="Arial" w:cs="Arial" w:eastAsia="Arial" w:hAnsi="Arial"/>
                <w:sz w:val="17"/>
                <w:szCs w:val="17"/>
                <w:color w:val="auto"/>
              </w:rPr>
              <w:t>G708</w:t>
            </w:r>
          </w:p>
        </w:tc>
        <w:tc>
          <w:tcPr>
            <w:tcW w:w="720" w:type="dxa"/>
            <w:vAlign w:val="bottom"/>
          </w:tcPr>
          <w:p>
            <w:pPr>
              <w:jc w:val="center"/>
              <w:spacing w:after="0"/>
              <w:rPr>
                <w:sz w:val="20"/>
                <w:szCs w:val="20"/>
                <w:color w:val="auto"/>
              </w:rPr>
            </w:pPr>
            <w:r>
              <w:rPr>
                <w:rFonts w:ascii="Arial" w:cs="Arial" w:eastAsia="Arial" w:hAnsi="Arial"/>
                <w:sz w:val="17"/>
                <w:szCs w:val="17"/>
                <w:color w:val="auto"/>
                <w:w w:val="98"/>
              </w:rPr>
              <w:t>G708-B</w:t>
            </w:r>
          </w:p>
        </w:tc>
        <w:tc>
          <w:tcPr>
            <w:tcW w:w="740" w:type="dxa"/>
            <w:vAlign w:val="bottom"/>
          </w:tcPr>
          <w:p>
            <w:pPr>
              <w:jc w:val="right"/>
              <w:spacing w:after="0"/>
              <w:rPr>
                <w:sz w:val="20"/>
                <w:szCs w:val="20"/>
                <w:color w:val="auto"/>
              </w:rPr>
            </w:pPr>
            <w:r>
              <w:rPr>
                <w:rFonts w:ascii="Arial" w:cs="Arial" w:eastAsia="Arial" w:hAnsi="Arial"/>
                <w:sz w:val="17"/>
                <w:szCs w:val="17"/>
                <w:color w:val="auto"/>
              </w:rPr>
              <w:t>1989.50</w:t>
            </w:r>
          </w:p>
        </w:tc>
        <w:tc>
          <w:tcPr>
            <w:tcW w:w="1480" w:type="dxa"/>
            <w:vAlign w:val="bottom"/>
          </w:tcPr>
          <w:p>
            <w:pPr>
              <w:spacing w:after="0"/>
              <w:rPr>
                <w:sz w:val="17"/>
                <w:szCs w:val="17"/>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3.010</w:t>
            </w:r>
          </w:p>
        </w:tc>
        <w:tc>
          <w:tcPr>
            <w:tcW w:w="8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w w:val="98"/>
              </w:rPr>
              <w:t>13.66</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0.040 0</w:t>
            </w:r>
          </w:p>
        </w:tc>
        <w:tc>
          <w:tcPr>
            <w:tcW w:w="1620" w:type="dxa"/>
            <w:vAlign w:val="bottom"/>
          </w:tcPr>
          <w:p>
            <w:pPr>
              <w:jc w:val="center"/>
              <w:spacing w:after="0"/>
              <w:rPr>
                <w:sz w:val="20"/>
                <w:szCs w:val="20"/>
                <w:color w:val="auto"/>
              </w:rPr>
            </w:pPr>
            <w:r>
              <w:rPr>
                <w:rFonts w:ascii="Arial" w:cs="Arial" w:eastAsia="Arial" w:hAnsi="Arial"/>
                <w:sz w:val="17"/>
                <w:szCs w:val="17"/>
                <w:color w:val="auto"/>
                <w:w w:val="99"/>
              </w:rPr>
              <w:t>Undeveloped</w:t>
            </w:r>
          </w:p>
        </w:tc>
        <w:tc>
          <w:tcPr>
            <w:tcW w:w="0" w:type="dxa"/>
            <w:vAlign w:val="bottom"/>
          </w:tcPr>
          <w:p>
            <w:pPr>
              <w:spacing w:after="0"/>
              <w:rPr>
                <w:sz w:val="1"/>
                <w:szCs w:val="1"/>
                <w:color w:val="auto"/>
              </w:rPr>
            </w:pPr>
          </w:p>
        </w:tc>
      </w:tr>
      <w:tr>
        <w:trPr>
          <w:trHeight w:val="196"/>
        </w:trPr>
        <w:tc>
          <w:tcPr>
            <w:tcW w:w="840" w:type="dxa"/>
            <w:vAlign w:val="bottom"/>
            <w:vMerge w:val="restart"/>
          </w:tcPr>
          <w:p>
            <w:pPr>
              <w:jc w:val="center"/>
              <w:spacing w:after="0"/>
              <w:rPr>
                <w:sz w:val="20"/>
                <w:szCs w:val="20"/>
                <w:color w:val="auto"/>
              </w:rPr>
            </w:pPr>
            <w:r>
              <w:rPr>
                <w:rFonts w:ascii="Arial" w:cs="Arial" w:eastAsia="Arial" w:hAnsi="Arial"/>
                <w:sz w:val="17"/>
                <w:szCs w:val="17"/>
                <w:color w:val="auto"/>
              </w:rPr>
              <w:t>G72</w:t>
            </w: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rPr>
              <w:t>G72-B</w:t>
            </w:r>
          </w:p>
        </w:tc>
        <w:tc>
          <w:tcPr>
            <w:tcW w:w="740" w:type="dxa"/>
            <w:vAlign w:val="bottom"/>
            <w:vMerge w:val="restart"/>
          </w:tcPr>
          <w:p>
            <w:pPr>
              <w:jc w:val="right"/>
              <w:spacing w:after="0"/>
              <w:rPr>
                <w:sz w:val="20"/>
                <w:szCs w:val="20"/>
                <w:color w:val="auto"/>
              </w:rPr>
            </w:pPr>
            <w:r>
              <w:rPr>
                <w:rFonts w:ascii="Arial" w:cs="Arial" w:eastAsia="Arial" w:hAnsi="Arial"/>
                <w:sz w:val="17"/>
                <w:szCs w:val="17"/>
                <w:color w:val="auto"/>
              </w:rPr>
              <w:t>2017.50</w:t>
            </w:r>
          </w:p>
        </w:tc>
        <w:tc>
          <w:tcPr>
            <w:tcW w:w="1480" w:type="dxa"/>
            <w:vAlign w:val="bottom"/>
          </w:tcPr>
          <w:p>
            <w:pPr>
              <w:spacing w:after="0"/>
              <w:rPr>
                <w:sz w:val="17"/>
                <w:szCs w:val="17"/>
                <w:color w:val="auto"/>
              </w:rPr>
            </w:pPr>
          </w:p>
        </w:tc>
        <w:tc>
          <w:tcPr>
            <w:tcW w:w="660" w:type="dxa"/>
            <w:vAlign w:val="bottom"/>
            <w:vMerge w:val="restart"/>
          </w:tcPr>
          <w:p>
            <w:pPr>
              <w:jc w:val="center"/>
              <w:spacing w:after="0"/>
              <w:rPr>
                <w:sz w:val="20"/>
                <w:szCs w:val="20"/>
                <w:color w:val="auto"/>
              </w:rPr>
            </w:pPr>
            <w:r>
              <w:rPr>
                <w:rFonts w:ascii="Arial" w:cs="Arial" w:eastAsia="Arial" w:hAnsi="Arial"/>
                <w:sz w:val="17"/>
                <w:szCs w:val="17"/>
                <w:color w:val="auto"/>
              </w:rPr>
              <w:t>3.571</w:t>
            </w:r>
          </w:p>
        </w:tc>
        <w:tc>
          <w:tcPr>
            <w:tcW w:w="8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w w:val="98"/>
              </w:rPr>
              <w:t>18.03</w:t>
            </w:r>
          </w:p>
        </w:tc>
        <w:tc>
          <w:tcPr>
            <w:tcW w:w="1020" w:type="dxa"/>
            <w:vAlign w:val="bottom"/>
            <w:vMerge w:val="restart"/>
          </w:tcPr>
          <w:p>
            <w:pPr>
              <w:jc w:val="center"/>
              <w:spacing w:after="0"/>
              <w:rPr>
                <w:sz w:val="20"/>
                <w:szCs w:val="20"/>
                <w:color w:val="auto"/>
              </w:rPr>
            </w:pPr>
            <w:r>
              <w:rPr>
                <w:rFonts w:ascii="Arial" w:cs="Arial" w:eastAsia="Arial" w:hAnsi="Arial"/>
                <w:sz w:val="17"/>
                <w:szCs w:val="17"/>
                <w:color w:val="auto"/>
              </w:rPr>
              <w:t>15.858 0</w:t>
            </w:r>
          </w:p>
        </w:tc>
        <w:tc>
          <w:tcPr>
            <w:tcW w:w="1620" w:type="dxa"/>
            <w:vAlign w:val="bottom"/>
          </w:tcPr>
          <w:p>
            <w:pPr>
              <w:jc w:val="center"/>
              <w:spacing w:after="0"/>
              <w:rPr>
                <w:sz w:val="20"/>
                <w:szCs w:val="20"/>
                <w:color w:val="auto"/>
              </w:rPr>
            </w:pPr>
            <w:r>
              <w:rPr>
                <w:rFonts w:ascii="Arial" w:cs="Arial" w:eastAsia="Arial" w:hAnsi="Arial"/>
                <w:sz w:val="17"/>
                <w:szCs w:val="17"/>
                <w:color w:val="auto"/>
              </w:rPr>
              <w:t>Penetrating</w:t>
            </w:r>
          </w:p>
        </w:tc>
        <w:tc>
          <w:tcPr>
            <w:tcW w:w="0" w:type="dxa"/>
            <w:vAlign w:val="bottom"/>
          </w:tcPr>
          <w:p>
            <w:pPr>
              <w:spacing w:after="0"/>
              <w:rPr>
                <w:sz w:val="1"/>
                <w:szCs w:val="1"/>
                <w:color w:val="auto"/>
              </w:rPr>
            </w:pPr>
          </w:p>
        </w:tc>
      </w:tr>
      <w:tr>
        <w:trPr>
          <w:trHeight w:val="132"/>
        </w:trPr>
        <w:tc>
          <w:tcPr>
            <w:tcW w:w="84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1480" w:type="dxa"/>
            <w:vAlign w:val="bottom"/>
          </w:tcPr>
          <w:p>
            <w:pPr>
              <w:spacing w:after="0"/>
              <w:rPr>
                <w:sz w:val="11"/>
                <w:szCs w:val="11"/>
                <w:color w:val="auto"/>
              </w:rPr>
            </w:pPr>
          </w:p>
        </w:tc>
        <w:tc>
          <w:tcPr>
            <w:tcW w:w="660" w:type="dxa"/>
            <w:vAlign w:val="bottom"/>
            <w:vMerge w:val="continue"/>
          </w:tcPr>
          <w:p>
            <w:pPr>
              <w:spacing w:after="0"/>
              <w:rPr>
                <w:sz w:val="11"/>
                <w:szCs w:val="11"/>
                <w:color w:val="auto"/>
              </w:rPr>
            </w:pPr>
          </w:p>
        </w:tc>
        <w:tc>
          <w:tcPr>
            <w:tcW w:w="88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720" w:type="dxa"/>
            <w:vAlign w:val="bottom"/>
            <w:vMerge w:val="continue"/>
          </w:tcPr>
          <w:p>
            <w:pPr>
              <w:spacing w:after="0"/>
              <w:rPr>
                <w:sz w:val="11"/>
                <w:szCs w:val="11"/>
                <w:color w:val="auto"/>
              </w:rPr>
            </w:pPr>
          </w:p>
        </w:tc>
        <w:tc>
          <w:tcPr>
            <w:tcW w:w="1020" w:type="dxa"/>
            <w:vAlign w:val="bottom"/>
            <w:vMerge w:val="continue"/>
          </w:tcPr>
          <w:p>
            <w:pPr>
              <w:spacing w:after="0"/>
              <w:rPr>
                <w:sz w:val="11"/>
                <w:szCs w:val="11"/>
                <w:color w:val="auto"/>
              </w:rPr>
            </w:pPr>
          </w:p>
        </w:tc>
        <w:tc>
          <w:tcPr>
            <w:tcW w:w="1620" w:type="dxa"/>
            <w:vAlign w:val="bottom"/>
            <w:vMerge w:val="restart"/>
          </w:tcPr>
          <w:p>
            <w:pPr>
              <w:jc w:val="center"/>
              <w:spacing w:after="0"/>
              <w:rPr>
                <w:sz w:val="20"/>
                <w:szCs w:val="20"/>
                <w:color w:val="auto"/>
              </w:rPr>
            </w:pPr>
            <w:r>
              <w:rPr>
                <w:rFonts w:ascii="Arial" w:cs="Arial" w:eastAsia="Arial" w:hAnsi="Arial"/>
                <w:sz w:val="17"/>
                <w:szCs w:val="17"/>
                <w:color w:val="auto"/>
                <w:w w:val="99"/>
              </w:rPr>
              <w:t>fractures developed</w:t>
            </w:r>
          </w:p>
        </w:tc>
        <w:tc>
          <w:tcPr>
            <w:tcW w:w="0" w:type="dxa"/>
            <w:vAlign w:val="bottom"/>
          </w:tcPr>
          <w:p>
            <w:pPr>
              <w:spacing w:after="0"/>
              <w:rPr>
                <w:sz w:val="1"/>
                <w:szCs w:val="1"/>
                <w:color w:val="auto"/>
              </w:rPr>
            </w:pPr>
          </w:p>
        </w:tc>
      </w:tr>
      <w:tr>
        <w:trPr>
          <w:trHeight w:val="64"/>
        </w:trPr>
        <w:tc>
          <w:tcPr>
            <w:tcW w:w="840" w:type="dxa"/>
            <w:vAlign w:val="bottom"/>
          </w:tcPr>
          <w:p>
            <w:pPr>
              <w:spacing w:after="0"/>
              <w:rPr>
                <w:sz w:val="5"/>
                <w:szCs w:val="5"/>
                <w:color w:val="auto"/>
              </w:rPr>
            </w:pPr>
          </w:p>
        </w:tc>
        <w:tc>
          <w:tcPr>
            <w:tcW w:w="720" w:type="dxa"/>
            <w:vAlign w:val="bottom"/>
          </w:tcPr>
          <w:p>
            <w:pPr>
              <w:spacing w:after="0"/>
              <w:rPr>
                <w:sz w:val="5"/>
                <w:szCs w:val="5"/>
                <w:color w:val="auto"/>
              </w:rPr>
            </w:pPr>
          </w:p>
        </w:tc>
        <w:tc>
          <w:tcPr>
            <w:tcW w:w="740" w:type="dxa"/>
            <w:vAlign w:val="bottom"/>
          </w:tcPr>
          <w:p>
            <w:pPr>
              <w:spacing w:after="0"/>
              <w:rPr>
                <w:sz w:val="5"/>
                <w:szCs w:val="5"/>
                <w:color w:val="auto"/>
              </w:rPr>
            </w:pPr>
          </w:p>
        </w:tc>
        <w:tc>
          <w:tcPr>
            <w:tcW w:w="1480" w:type="dxa"/>
            <w:vAlign w:val="bottom"/>
          </w:tcPr>
          <w:p>
            <w:pPr>
              <w:spacing w:after="0"/>
              <w:rPr>
                <w:sz w:val="5"/>
                <w:szCs w:val="5"/>
                <w:color w:val="auto"/>
              </w:rPr>
            </w:pPr>
          </w:p>
        </w:tc>
        <w:tc>
          <w:tcPr>
            <w:tcW w:w="660" w:type="dxa"/>
            <w:vAlign w:val="bottom"/>
          </w:tcPr>
          <w:p>
            <w:pPr>
              <w:spacing w:after="0"/>
              <w:rPr>
                <w:sz w:val="5"/>
                <w:szCs w:val="5"/>
                <w:color w:val="auto"/>
              </w:rPr>
            </w:pPr>
          </w:p>
        </w:tc>
        <w:tc>
          <w:tcPr>
            <w:tcW w:w="880" w:type="dxa"/>
            <w:vAlign w:val="bottom"/>
          </w:tcPr>
          <w:p>
            <w:pPr>
              <w:spacing w:after="0"/>
              <w:rPr>
                <w:sz w:val="5"/>
                <w:szCs w:val="5"/>
                <w:color w:val="auto"/>
              </w:rPr>
            </w:pPr>
          </w:p>
        </w:tc>
        <w:tc>
          <w:tcPr>
            <w:tcW w:w="780" w:type="dxa"/>
            <w:vAlign w:val="bottom"/>
          </w:tcPr>
          <w:p>
            <w:pPr>
              <w:spacing w:after="0"/>
              <w:rPr>
                <w:sz w:val="5"/>
                <w:szCs w:val="5"/>
                <w:color w:val="auto"/>
              </w:rPr>
            </w:pPr>
          </w:p>
        </w:tc>
        <w:tc>
          <w:tcPr>
            <w:tcW w:w="720" w:type="dxa"/>
            <w:vAlign w:val="bottom"/>
          </w:tcPr>
          <w:p>
            <w:pPr>
              <w:spacing w:after="0"/>
              <w:rPr>
                <w:sz w:val="5"/>
                <w:szCs w:val="5"/>
                <w:color w:val="auto"/>
              </w:rPr>
            </w:pPr>
          </w:p>
        </w:tc>
        <w:tc>
          <w:tcPr>
            <w:tcW w:w="1020" w:type="dxa"/>
            <w:vAlign w:val="bottom"/>
          </w:tcPr>
          <w:p>
            <w:pPr>
              <w:spacing w:after="0"/>
              <w:rPr>
                <w:sz w:val="5"/>
                <w:szCs w:val="5"/>
                <w:color w:val="auto"/>
              </w:rPr>
            </w:pPr>
          </w:p>
        </w:tc>
        <w:tc>
          <w:tcPr>
            <w:tcW w:w="16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6"/>
        </w:trPr>
        <w:tc>
          <w:tcPr>
            <w:tcW w:w="840" w:type="dxa"/>
            <w:vAlign w:val="bottom"/>
          </w:tcPr>
          <w:p>
            <w:pPr>
              <w:jc w:val="center"/>
              <w:spacing w:after="0"/>
              <w:rPr>
                <w:sz w:val="20"/>
                <w:szCs w:val="20"/>
                <w:color w:val="auto"/>
              </w:rPr>
            </w:pPr>
            <w:r>
              <w:rPr>
                <w:rFonts w:ascii="Arial" w:cs="Arial" w:eastAsia="Arial" w:hAnsi="Arial"/>
                <w:sz w:val="17"/>
                <w:szCs w:val="17"/>
                <w:color w:val="auto"/>
              </w:rPr>
              <w:t>G93</w:t>
            </w:r>
          </w:p>
        </w:tc>
        <w:tc>
          <w:tcPr>
            <w:tcW w:w="720" w:type="dxa"/>
            <w:vAlign w:val="bottom"/>
          </w:tcPr>
          <w:p>
            <w:pPr>
              <w:jc w:val="center"/>
              <w:spacing w:after="0"/>
              <w:rPr>
                <w:sz w:val="20"/>
                <w:szCs w:val="20"/>
                <w:color w:val="auto"/>
              </w:rPr>
            </w:pPr>
            <w:r>
              <w:rPr>
                <w:rFonts w:ascii="Arial" w:cs="Arial" w:eastAsia="Arial" w:hAnsi="Arial"/>
                <w:sz w:val="17"/>
                <w:szCs w:val="17"/>
                <w:color w:val="auto"/>
              </w:rPr>
              <w:t>G93-A</w:t>
            </w:r>
          </w:p>
        </w:tc>
        <w:tc>
          <w:tcPr>
            <w:tcW w:w="740" w:type="dxa"/>
            <w:vAlign w:val="bottom"/>
          </w:tcPr>
          <w:p>
            <w:pPr>
              <w:jc w:val="right"/>
              <w:spacing w:after="0"/>
              <w:rPr>
                <w:sz w:val="20"/>
                <w:szCs w:val="20"/>
                <w:color w:val="auto"/>
              </w:rPr>
            </w:pPr>
            <w:r>
              <w:rPr>
                <w:rFonts w:ascii="Arial" w:cs="Arial" w:eastAsia="Arial" w:hAnsi="Arial"/>
                <w:sz w:val="17"/>
                <w:szCs w:val="17"/>
                <w:color w:val="auto"/>
              </w:rPr>
              <w:t>2052.66</w:t>
            </w:r>
          </w:p>
        </w:tc>
        <w:tc>
          <w:tcPr>
            <w:tcW w:w="1480" w:type="dxa"/>
            <w:vAlign w:val="bottom"/>
          </w:tcPr>
          <w:p>
            <w:pPr>
              <w:spacing w:after="0"/>
              <w:rPr>
                <w:sz w:val="17"/>
                <w:szCs w:val="17"/>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3.096</w:t>
            </w:r>
          </w:p>
        </w:tc>
        <w:tc>
          <w:tcPr>
            <w:tcW w:w="8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w w:val="98"/>
              </w:rPr>
              <w:t>10.48</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0.086 8</w:t>
            </w:r>
          </w:p>
        </w:tc>
        <w:tc>
          <w:tcPr>
            <w:tcW w:w="1620" w:type="dxa"/>
            <w:vAlign w:val="bottom"/>
          </w:tcPr>
          <w:p>
            <w:pPr>
              <w:jc w:val="center"/>
              <w:spacing w:after="0"/>
              <w:rPr>
                <w:sz w:val="20"/>
                <w:szCs w:val="20"/>
                <w:color w:val="auto"/>
              </w:rPr>
            </w:pPr>
            <w:r>
              <w:rPr>
                <w:rFonts w:ascii="Arial" w:cs="Arial" w:eastAsia="Arial" w:hAnsi="Arial"/>
                <w:sz w:val="17"/>
                <w:szCs w:val="17"/>
                <w:color w:val="auto"/>
                <w:w w:val="99"/>
              </w:rPr>
              <w:t>Relatively developed</w:t>
            </w:r>
          </w:p>
        </w:tc>
        <w:tc>
          <w:tcPr>
            <w:tcW w:w="0" w:type="dxa"/>
            <w:vAlign w:val="bottom"/>
          </w:tcPr>
          <w:p>
            <w:pPr>
              <w:spacing w:after="0"/>
              <w:rPr>
                <w:sz w:val="1"/>
                <w:szCs w:val="1"/>
                <w:color w:val="auto"/>
              </w:rPr>
            </w:pPr>
          </w:p>
        </w:tc>
      </w:tr>
      <w:tr>
        <w:trPr>
          <w:trHeight w:val="196"/>
        </w:trPr>
        <w:tc>
          <w:tcPr>
            <w:tcW w:w="840" w:type="dxa"/>
            <w:vAlign w:val="bottom"/>
          </w:tcPr>
          <w:p>
            <w:pPr>
              <w:jc w:val="center"/>
              <w:spacing w:after="0"/>
              <w:rPr>
                <w:sz w:val="20"/>
                <w:szCs w:val="20"/>
                <w:color w:val="auto"/>
              </w:rPr>
            </w:pPr>
            <w:r>
              <w:rPr>
                <w:rFonts w:ascii="Arial" w:cs="Arial" w:eastAsia="Arial" w:hAnsi="Arial"/>
                <w:sz w:val="17"/>
                <w:szCs w:val="17"/>
                <w:color w:val="auto"/>
                <w:w w:val="94"/>
              </w:rPr>
              <w:t>J37</w:t>
            </w:r>
          </w:p>
        </w:tc>
        <w:tc>
          <w:tcPr>
            <w:tcW w:w="720" w:type="dxa"/>
            <w:vAlign w:val="bottom"/>
          </w:tcPr>
          <w:p>
            <w:pPr>
              <w:jc w:val="center"/>
              <w:spacing w:after="0"/>
              <w:rPr>
                <w:sz w:val="20"/>
                <w:szCs w:val="20"/>
                <w:color w:val="auto"/>
              </w:rPr>
            </w:pPr>
            <w:r>
              <w:rPr>
                <w:rFonts w:ascii="Arial" w:cs="Arial" w:eastAsia="Arial" w:hAnsi="Arial"/>
                <w:sz w:val="17"/>
                <w:szCs w:val="17"/>
                <w:color w:val="auto"/>
              </w:rPr>
              <w:t>J37-A</w:t>
            </w:r>
          </w:p>
        </w:tc>
        <w:tc>
          <w:tcPr>
            <w:tcW w:w="740" w:type="dxa"/>
            <w:vAlign w:val="bottom"/>
          </w:tcPr>
          <w:p>
            <w:pPr>
              <w:jc w:val="right"/>
              <w:spacing w:after="0"/>
              <w:rPr>
                <w:sz w:val="20"/>
                <w:szCs w:val="20"/>
                <w:color w:val="auto"/>
              </w:rPr>
            </w:pPr>
            <w:r>
              <w:rPr>
                <w:rFonts w:ascii="Arial" w:cs="Arial" w:eastAsia="Arial" w:hAnsi="Arial"/>
                <w:sz w:val="17"/>
                <w:szCs w:val="17"/>
                <w:color w:val="auto"/>
              </w:rPr>
              <w:t>1852.61</w:t>
            </w:r>
          </w:p>
        </w:tc>
        <w:tc>
          <w:tcPr>
            <w:tcW w:w="1480" w:type="dxa"/>
            <w:vAlign w:val="bottom"/>
          </w:tcPr>
          <w:p>
            <w:pPr>
              <w:spacing w:after="0"/>
              <w:rPr>
                <w:sz w:val="17"/>
                <w:szCs w:val="17"/>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4.150</w:t>
            </w:r>
          </w:p>
        </w:tc>
        <w:tc>
          <w:tcPr>
            <w:tcW w:w="8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w w:val="98"/>
              </w:rPr>
              <w:t>17.00</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3.280 0</w:t>
            </w:r>
          </w:p>
        </w:tc>
        <w:tc>
          <w:tcPr>
            <w:tcW w:w="1620" w:type="dxa"/>
            <w:vAlign w:val="bottom"/>
          </w:tcPr>
          <w:p>
            <w:pPr>
              <w:jc w:val="center"/>
              <w:spacing w:after="0"/>
              <w:rPr>
                <w:sz w:val="20"/>
                <w:szCs w:val="20"/>
                <w:color w:val="auto"/>
              </w:rPr>
            </w:pPr>
            <w:r>
              <w:rPr>
                <w:rFonts w:ascii="Arial" w:cs="Arial" w:eastAsia="Arial" w:hAnsi="Arial"/>
                <w:sz w:val="17"/>
                <w:szCs w:val="17"/>
                <w:color w:val="auto"/>
                <w:w w:val="98"/>
              </w:rPr>
              <w:t>Developed</w:t>
            </w:r>
          </w:p>
        </w:tc>
        <w:tc>
          <w:tcPr>
            <w:tcW w:w="0" w:type="dxa"/>
            <w:vAlign w:val="bottom"/>
          </w:tcPr>
          <w:p>
            <w:pPr>
              <w:spacing w:after="0"/>
              <w:rPr>
                <w:sz w:val="1"/>
                <w:szCs w:val="1"/>
                <w:color w:val="auto"/>
              </w:rPr>
            </w:pPr>
          </w:p>
        </w:tc>
      </w:tr>
      <w:tr>
        <w:trPr>
          <w:trHeight w:val="196"/>
        </w:trPr>
        <w:tc>
          <w:tcPr>
            <w:tcW w:w="840" w:type="dxa"/>
            <w:vAlign w:val="bottom"/>
          </w:tcPr>
          <w:p>
            <w:pPr>
              <w:jc w:val="center"/>
              <w:spacing w:after="0"/>
              <w:rPr>
                <w:sz w:val="20"/>
                <w:szCs w:val="20"/>
                <w:color w:val="auto"/>
              </w:rPr>
            </w:pPr>
            <w:r>
              <w:rPr>
                <w:rFonts w:ascii="Arial" w:cs="Arial" w:eastAsia="Arial" w:hAnsi="Arial"/>
                <w:sz w:val="17"/>
                <w:szCs w:val="17"/>
                <w:color w:val="auto"/>
                <w:w w:val="94"/>
              </w:rPr>
              <w:t>J44</w:t>
            </w:r>
          </w:p>
        </w:tc>
        <w:tc>
          <w:tcPr>
            <w:tcW w:w="720" w:type="dxa"/>
            <w:vAlign w:val="bottom"/>
          </w:tcPr>
          <w:p>
            <w:pPr>
              <w:jc w:val="center"/>
              <w:spacing w:after="0"/>
              <w:rPr>
                <w:sz w:val="20"/>
                <w:szCs w:val="20"/>
                <w:color w:val="auto"/>
              </w:rPr>
            </w:pPr>
            <w:r>
              <w:rPr>
                <w:rFonts w:ascii="Arial" w:cs="Arial" w:eastAsia="Arial" w:hAnsi="Arial"/>
                <w:sz w:val="17"/>
                <w:szCs w:val="17"/>
                <w:color w:val="auto"/>
              </w:rPr>
              <w:t>J44-B</w:t>
            </w:r>
          </w:p>
        </w:tc>
        <w:tc>
          <w:tcPr>
            <w:tcW w:w="740" w:type="dxa"/>
            <w:vAlign w:val="bottom"/>
          </w:tcPr>
          <w:p>
            <w:pPr>
              <w:jc w:val="right"/>
              <w:spacing w:after="0"/>
              <w:rPr>
                <w:sz w:val="20"/>
                <w:szCs w:val="20"/>
                <w:color w:val="auto"/>
              </w:rPr>
            </w:pPr>
            <w:r>
              <w:rPr>
                <w:rFonts w:ascii="Arial" w:cs="Arial" w:eastAsia="Arial" w:hAnsi="Arial"/>
                <w:sz w:val="17"/>
                <w:szCs w:val="17"/>
                <w:color w:val="auto"/>
              </w:rPr>
              <w:t>2147.75</w:t>
            </w:r>
          </w:p>
        </w:tc>
        <w:tc>
          <w:tcPr>
            <w:tcW w:w="1480" w:type="dxa"/>
            <w:vAlign w:val="bottom"/>
            <w:vMerge w:val="restart"/>
          </w:tcPr>
          <w:p>
            <w:pPr>
              <w:jc w:val="center"/>
              <w:spacing w:after="0"/>
              <w:rPr>
                <w:sz w:val="20"/>
                <w:szCs w:val="20"/>
                <w:color w:val="auto"/>
              </w:rPr>
            </w:pPr>
            <w:r>
              <w:rPr>
                <w:rFonts w:ascii="Arial" w:cs="Arial" w:eastAsia="Arial" w:hAnsi="Arial"/>
                <w:sz w:val="17"/>
                <w:szCs w:val="17"/>
                <w:color w:val="auto"/>
              </w:rPr>
              <w:t>Qingshankou</w:t>
            </w:r>
          </w:p>
        </w:tc>
        <w:tc>
          <w:tcPr>
            <w:tcW w:w="660" w:type="dxa"/>
            <w:vAlign w:val="bottom"/>
          </w:tcPr>
          <w:p>
            <w:pPr>
              <w:jc w:val="center"/>
              <w:spacing w:after="0"/>
              <w:rPr>
                <w:sz w:val="20"/>
                <w:szCs w:val="20"/>
                <w:color w:val="auto"/>
              </w:rPr>
            </w:pPr>
            <w:r>
              <w:rPr>
                <w:rFonts w:ascii="Arial" w:cs="Arial" w:eastAsia="Arial" w:hAnsi="Arial"/>
                <w:sz w:val="17"/>
                <w:szCs w:val="17"/>
                <w:color w:val="auto"/>
              </w:rPr>
              <w:t>2.540</w:t>
            </w:r>
          </w:p>
        </w:tc>
        <w:tc>
          <w:tcPr>
            <w:tcW w:w="880" w:type="dxa"/>
            <w:vAlign w:val="bottom"/>
          </w:tcPr>
          <w:p>
            <w:pPr>
              <w:spacing w:after="0"/>
              <w:rPr>
                <w:sz w:val="17"/>
                <w:szCs w:val="17"/>
                <w:color w:val="auto"/>
              </w:rPr>
            </w:pPr>
          </w:p>
        </w:tc>
        <w:tc>
          <w:tcPr>
            <w:tcW w:w="780" w:type="dxa"/>
            <w:vAlign w:val="bottom"/>
            <w:vMerge w:val="restart"/>
          </w:tcPr>
          <w:p>
            <w:pPr>
              <w:jc w:val="center"/>
              <w:spacing w:after="0"/>
              <w:rPr>
                <w:sz w:val="20"/>
                <w:szCs w:val="20"/>
                <w:color w:val="auto"/>
              </w:rPr>
            </w:pPr>
            <w:r>
              <w:rPr>
                <w:rFonts w:ascii="Arial" w:cs="Arial" w:eastAsia="Arial" w:hAnsi="Arial"/>
                <w:sz w:val="17"/>
                <w:szCs w:val="17"/>
                <w:color w:val="auto"/>
              </w:rPr>
              <w:t>2.50</w:t>
            </w:r>
          </w:p>
        </w:tc>
        <w:tc>
          <w:tcPr>
            <w:tcW w:w="720" w:type="dxa"/>
            <w:vAlign w:val="bottom"/>
          </w:tcPr>
          <w:p>
            <w:pPr>
              <w:jc w:val="center"/>
              <w:spacing w:after="0"/>
              <w:rPr>
                <w:sz w:val="20"/>
                <w:szCs w:val="20"/>
                <w:color w:val="auto"/>
              </w:rPr>
            </w:pPr>
            <w:r>
              <w:rPr>
                <w:rFonts w:ascii="Arial" w:cs="Arial" w:eastAsia="Arial" w:hAnsi="Arial"/>
                <w:sz w:val="17"/>
                <w:szCs w:val="17"/>
                <w:color w:val="auto"/>
              </w:rPr>
              <w:t>9.40</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0.911 4</w:t>
            </w:r>
          </w:p>
        </w:tc>
        <w:tc>
          <w:tcPr>
            <w:tcW w:w="1620" w:type="dxa"/>
            <w:vAlign w:val="bottom"/>
          </w:tcPr>
          <w:p>
            <w:pPr>
              <w:jc w:val="center"/>
              <w:spacing w:after="0"/>
              <w:rPr>
                <w:sz w:val="20"/>
                <w:szCs w:val="20"/>
                <w:color w:val="auto"/>
              </w:rPr>
            </w:pPr>
            <w:r>
              <w:rPr>
                <w:rFonts w:ascii="Arial" w:cs="Arial" w:eastAsia="Arial" w:hAnsi="Arial"/>
                <w:sz w:val="17"/>
                <w:szCs w:val="17"/>
                <w:color w:val="auto"/>
                <w:w w:val="98"/>
              </w:rPr>
              <w:t>Developed</w:t>
            </w:r>
          </w:p>
        </w:tc>
        <w:tc>
          <w:tcPr>
            <w:tcW w:w="0" w:type="dxa"/>
            <w:vAlign w:val="bottom"/>
          </w:tcPr>
          <w:p>
            <w:pPr>
              <w:spacing w:after="0"/>
              <w:rPr>
                <w:sz w:val="1"/>
                <w:szCs w:val="1"/>
                <w:color w:val="auto"/>
              </w:rPr>
            </w:pPr>
          </w:p>
        </w:tc>
      </w:tr>
      <w:tr>
        <w:trPr>
          <w:trHeight w:val="190"/>
        </w:trPr>
        <w:tc>
          <w:tcPr>
            <w:tcW w:w="840" w:type="dxa"/>
            <w:vAlign w:val="bottom"/>
          </w:tcPr>
          <w:p>
            <w:pPr>
              <w:jc w:val="center"/>
              <w:spacing w:after="0" w:line="189" w:lineRule="exact"/>
              <w:rPr>
                <w:sz w:val="20"/>
                <w:szCs w:val="20"/>
                <w:color w:val="auto"/>
              </w:rPr>
            </w:pPr>
            <w:r>
              <w:rPr>
                <w:rFonts w:ascii="Arial" w:cs="Arial" w:eastAsia="Arial" w:hAnsi="Arial"/>
                <w:sz w:val="17"/>
                <w:szCs w:val="17"/>
                <w:color w:val="auto"/>
              </w:rPr>
              <w:t>G921</w:t>
            </w:r>
          </w:p>
        </w:tc>
        <w:tc>
          <w:tcPr>
            <w:tcW w:w="720" w:type="dxa"/>
            <w:vAlign w:val="bottom"/>
          </w:tcPr>
          <w:p>
            <w:pPr>
              <w:jc w:val="center"/>
              <w:spacing w:after="0" w:line="189" w:lineRule="exact"/>
              <w:rPr>
                <w:sz w:val="20"/>
                <w:szCs w:val="20"/>
                <w:color w:val="auto"/>
              </w:rPr>
            </w:pPr>
            <w:r>
              <w:rPr>
                <w:rFonts w:ascii="Arial" w:cs="Arial" w:eastAsia="Arial" w:hAnsi="Arial"/>
                <w:sz w:val="17"/>
                <w:szCs w:val="17"/>
                <w:color w:val="auto"/>
                <w:w w:val="97"/>
              </w:rPr>
              <w:t>G921-D</w:t>
            </w:r>
          </w:p>
        </w:tc>
        <w:tc>
          <w:tcPr>
            <w:tcW w:w="740" w:type="dxa"/>
            <w:vAlign w:val="bottom"/>
          </w:tcPr>
          <w:p>
            <w:pPr>
              <w:jc w:val="right"/>
              <w:spacing w:after="0" w:line="189" w:lineRule="exact"/>
              <w:rPr>
                <w:sz w:val="20"/>
                <w:szCs w:val="20"/>
                <w:color w:val="auto"/>
              </w:rPr>
            </w:pPr>
            <w:r>
              <w:rPr>
                <w:rFonts w:ascii="Arial" w:cs="Arial" w:eastAsia="Arial" w:hAnsi="Arial"/>
                <w:sz w:val="17"/>
                <w:szCs w:val="17"/>
                <w:color w:val="auto"/>
              </w:rPr>
              <w:t>1909.81</w:t>
            </w:r>
          </w:p>
        </w:tc>
        <w:tc>
          <w:tcPr>
            <w:tcW w:w="1480" w:type="dxa"/>
            <w:vAlign w:val="bottom"/>
            <w:vMerge w:val="continue"/>
          </w:tcPr>
          <w:p>
            <w:pPr>
              <w:spacing w:after="0"/>
              <w:rPr>
                <w:sz w:val="16"/>
                <w:szCs w:val="16"/>
                <w:color w:val="auto"/>
              </w:rPr>
            </w:pPr>
          </w:p>
        </w:tc>
        <w:tc>
          <w:tcPr>
            <w:tcW w:w="660" w:type="dxa"/>
            <w:vAlign w:val="bottom"/>
          </w:tcPr>
          <w:p>
            <w:pPr>
              <w:jc w:val="center"/>
              <w:spacing w:after="0" w:line="189" w:lineRule="exact"/>
              <w:rPr>
                <w:sz w:val="20"/>
                <w:szCs w:val="20"/>
                <w:color w:val="auto"/>
              </w:rPr>
            </w:pPr>
            <w:r>
              <w:rPr>
                <w:rFonts w:ascii="Arial" w:cs="Arial" w:eastAsia="Arial" w:hAnsi="Arial"/>
                <w:sz w:val="17"/>
                <w:szCs w:val="17"/>
                <w:color w:val="auto"/>
              </w:rPr>
              <w:t>3.600</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w w:val="98"/>
              </w:rPr>
              <w:t>Siltstone</w:t>
            </w:r>
          </w:p>
        </w:tc>
        <w:tc>
          <w:tcPr>
            <w:tcW w:w="780" w:type="dxa"/>
            <w:vAlign w:val="bottom"/>
            <w:vMerge w:val="continue"/>
          </w:tcPr>
          <w:p>
            <w:pPr>
              <w:spacing w:after="0"/>
              <w:rPr>
                <w:sz w:val="16"/>
                <w:szCs w:val="16"/>
                <w:color w:val="auto"/>
              </w:rPr>
            </w:pPr>
          </w:p>
        </w:tc>
        <w:tc>
          <w:tcPr>
            <w:tcW w:w="720" w:type="dxa"/>
            <w:vAlign w:val="bottom"/>
          </w:tcPr>
          <w:p>
            <w:pPr>
              <w:jc w:val="center"/>
              <w:spacing w:after="0" w:line="189" w:lineRule="exact"/>
              <w:rPr>
                <w:sz w:val="20"/>
                <w:szCs w:val="20"/>
                <w:color w:val="auto"/>
              </w:rPr>
            </w:pPr>
            <w:r>
              <w:rPr>
                <w:rFonts w:ascii="Arial" w:cs="Arial" w:eastAsia="Arial" w:hAnsi="Arial"/>
                <w:sz w:val="17"/>
                <w:szCs w:val="17"/>
                <w:color w:val="auto"/>
                <w:w w:val="98"/>
              </w:rPr>
              <w:t>10.95</w:t>
            </w:r>
          </w:p>
        </w:tc>
        <w:tc>
          <w:tcPr>
            <w:tcW w:w="1020" w:type="dxa"/>
            <w:vAlign w:val="bottom"/>
          </w:tcPr>
          <w:p>
            <w:pPr>
              <w:jc w:val="center"/>
              <w:spacing w:after="0" w:line="189" w:lineRule="exact"/>
              <w:rPr>
                <w:sz w:val="20"/>
                <w:szCs w:val="20"/>
                <w:color w:val="auto"/>
              </w:rPr>
            </w:pPr>
            <w:r>
              <w:rPr>
                <w:rFonts w:ascii="Arial" w:cs="Arial" w:eastAsia="Arial" w:hAnsi="Arial"/>
                <w:sz w:val="17"/>
                <w:szCs w:val="17"/>
                <w:color w:val="auto"/>
                <w:w w:val="98"/>
              </w:rPr>
              <w:t>1.154 4</w:t>
            </w:r>
          </w:p>
        </w:tc>
        <w:tc>
          <w:tcPr>
            <w:tcW w:w="1620" w:type="dxa"/>
            <w:vAlign w:val="bottom"/>
          </w:tcPr>
          <w:p>
            <w:pPr>
              <w:jc w:val="center"/>
              <w:spacing w:after="0" w:line="189" w:lineRule="exact"/>
              <w:rPr>
                <w:sz w:val="20"/>
                <w:szCs w:val="20"/>
                <w:color w:val="auto"/>
              </w:rPr>
            </w:pPr>
            <w:r>
              <w:rPr>
                <w:rFonts w:ascii="Arial" w:cs="Arial" w:eastAsia="Arial" w:hAnsi="Arial"/>
                <w:sz w:val="17"/>
                <w:szCs w:val="17"/>
                <w:color w:val="auto"/>
                <w:w w:val="98"/>
              </w:rPr>
              <w:t>Developed</w:t>
            </w:r>
          </w:p>
        </w:tc>
        <w:tc>
          <w:tcPr>
            <w:tcW w:w="0" w:type="dxa"/>
            <w:vAlign w:val="bottom"/>
          </w:tcPr>
          <w:p>
            <w:pPr>
              <w:spacing w:after="0"/>
              <w:rPr>
                <w:sz w:val="1"/>
                <w:szCs w:val="1"/>
                <w:color w:val="auto"/>
              </w:rPr>
            </w:pPr>
          </w:p>
        </w:tc>
      </w:tr>
      <w:tr>
        <w:trPr>
          <w:trHeight w:val="133"/>
        </w:trPr>
        <w:tc>
          <w:tcPr>
            <w:tcW w:w="840" w:type="dxa"/>
            <w:vAlign w:val="bottom"/>
            <w:vMerge w:val="restart"/>
          </w:tcPr>
          <w:p>
            <w:pPr>
              <w:jc w:val="center"/>
              <w:spacing w:after="0"/>
              <w:rPr>
                <w:sz w:val="20"/>
                <w:szCs w:val="20"/>
                <w:color w:val="auto"/>
              </w:rPr>
            </w:pPr>
            <w:r>
              <w:rPr>
                <w:rFonts w:ascii="Arial" w:cs="Arial" w:eastAsia="Arial" w:hAnsi="Arial"/>
                <w:sz w:val="17"/>
                <w:szCs w:val="17"/>
                <w:color w:val="auto"/>
              </w:rPr>
              <w:t>J392</w:t>
            </w: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w w:val="98"/>
              </w:rPr>
              <w:t>J392-C</w:t>
            </w:r>
          </w:p>
        </w:tc>
        <w:tc>
          <w:tcPr>
            <w:tcW w:w="740" w:type="dxa"/>
            <w:vAlign w:val="bottom"/>
            <w:vMerge w:val="restart"/>
          </w:tcPr>
          <w:p>
            <w:pPr>
              <w:jc w:val="right"/>
              <w:spacing w:after="0"/>
              <w:rPr>
                <w:sz w:val="20"/>
                <w:szCs w:val="20"/>
                <w:color w:val="auto"/>
              </w:rPr>
            </w:pPr>
            <w:r>
              <w:rPr>
                <w:rFonts w:ascii="Arial" w:cs="Arial" w:eastAsia="Arial" w:hAnsi="Arial"/>
                <w:sz w:val="17"/>
                <w:szCs w:val="17"/>
                <w:color w:val="auto"/>
              </w:rPr>
              <w:t>1824.70</w:t>
            </w:r>
          </w:p>
        </w:tc>
        <w:tc>
          <w:tcPr>
            <w:tcW w:w="1480" w:type="dxa"/>
            <w:vAlign w:val="bottom"/>
            <w:vMerge w:val="restart"/>
          </w:tcPr>
          <w:p>
            <w:pPr>
              <w:jc w:val="center"/>
              <w:spacing w:after="0"/>
              <w:rPr>
                <w:sz w:val="20"/>
                <w:szCs w:val="20"/>
                <w:color w:val="auto"/>
              </w:rPr>
            </w:pPr>
            <w:r>
              <w:rPr>
                <w:rFonts w:ascii="Arial" w:cs="Arial" w:eastAsia="Arial" w:hAnsi="Arial"/>
                <w:sz w:val="17"/>
                <w:szCs w:val="17"/>
                <w:color w:val="auto"/>
              </w:rPr>
              <w:t>Formation</w:t>
            </w:r>
          </w:p>
        </w:tc>
        <w:tc>
          <w:tcPr>
            <w:tcW w:w="660" w:type="dxa"/>
            <w:vAlign w:val="bottom"/>
            <w:vMerge w:val="restart"/>
          </w:tcPr>
          <w:p>
            <w:pPr>
              <w:jc w:val="center"/>
              <w:spacing w:after="0"/>
              <w:rPr>
                <w:sz w:val="20"/>
                <w:szCs w:val="20"/>
                <w:color w:val="auto"/>
              </w:rPr>
            </w:pPr>
            <w:r>
              <w:rPr>
                <w:rFonts w:ascii="Arial" w:cs="Arial" w:eastAsia="Arial" w:hAnsi="Arial"/>
                <w:sz w:val="17"/>
                <w:szCs w:val="17"/>
                <w:color w:val="auto"/>
              </w:rPr>
              <w:t>3.681</w:t>
            </w:r>
          </w:p>
        </w:tc>
        <w:tc>
          <w:tcPr>
            <w:tcW w:w="880" w:type="dxa"/>
            <w:vAlign w:val="bottom"/>
            <w:vMerge w:val="continue"/>
          </w:tcPr>
          <w:p>
            <w:pPr>
              <w:spacing w:after="0"/>
              <w:rPr>
                <w:sz w:val="11"/>
                <w:szCs w:val="11"/>
                <w:color w:val="auto"/>
              </w:rPr>
            </w:pPr>
          </w:p>
        </w:tc>
        <w:tc>
          <w:tcPr>
            <w:tcW w:w="780" w:type="dxa"/>
            <w:vAlign w:val="bottom"/>
            <w:vMerge w:val="restart"/>
          </w:tcPr>
          <w:p>
            <w:pPr>
              <w:jc w:val="center"/>
              <w:spacing w:after="0"/>
              <w:rPr>
                <w:sz w:val="20"/>
                <w:szCs w:val="20"/>
                <w:color w:val="auto"/>
              </w:rPr>
            </w:pPr>
            <w:r>
              <w:rPr>
                <w:rFonts w:ascii="Arial" w:cs="Arial" w:eastAsia="Arial" w:hAnsi="Arial"/>
                <w:sz w:val="17"/>
                <w:szCs w:val="17"/>
                <w:color w:val="auto"/>
              </w:rPr>
              <w:t>0.02</w:t>
            </w: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w w:val="98"/>
              </w:rPr>
              <w:t>13.71</w:t>
            </w:r>
          </w:p>
        </w:tc>
        <w:tc>
          <w:tcPr>
            <w:tcW w:w="1020" w:type="dxa"/>
            <w:vAlign w:val="bottom"/>
            <w:vMerge w:val="restart"/>
          </w:tcPr>
          <w:p>
            <w:pPr>
              <w:jc w:val="center"/>
              <w:spacing w:after="0"/>
              <w:rPr>
                <w:sz w:val="20"/>
                <w:szCs w:val="20"/>
                <w:color w:val="auto"/>
              </w:rPr>
            </w:pPr>
            <w:r>
              <w:rPr>
                <w:rFonts w:ascii="Arial" w:cs="Arial" w:eastAsia="Arial" w:hAnsi="Arial"/>
                <w:sz w:val="17"/>
                <w:szCs w:val="17"/>
                <w:color w:val="auto"/>
                <w:w w:val="98"/>
              </w:rPr>
              <w:t>0.060 2</w:t>
            </w:r>
          </w:p>
        </w:tc>
        <w:tc>
          <w:tcPr>
            <w:tcW w:w="1620" w:type="dxa"/>
            <w:vAlign w:val="bottom"/>
            <w:vMerge w:val="restart"/>
          </w:tcPr>
          <w:p>
            <w:pPr>
              <w:jc w:val="center"/>
              <w:spacing w:after="0"/>
              <w:rPr>
                <w:sz w:val="20"/>
                <w:szCs w:val="20"/>
                <w:color w:val="auto"/>
              </w:rPr>
            </w:pPr>
            <w:r>
              <w:rPr>
                <w:rFonts w:ascii="Arial" w:cs="Arial" w:eastAsia="Arial" w:hAnsi="Arial"/>
                <w:sz w:val="17"/>
                <w:szCs w:val="17"/>
                <w:color w:val="auto"/>
                <w:w w:val="99"/>
              </w:rPr>
              <w:t>Undeveloped</w:t>
            </w:r>
          </w:p>
        </w:tc>
        <w:tc>
          <w:tcPr>
            <w:tcW w:w="0" w:type="dxa"/>
            <w:vAlign w:val="bottom"/>
          </w:tcPr>
          <w:p>
            <w:pPr>
              <w:spacing w:after="0"/>
              <w:rPr>
                <w:sz w:val="1"/>
                <w:szCs w:val="1"/>
                <w:color w:val="auto"/>
              </w:rPr>
            </w:pPr>
          </w:p>
        </w:tc>
      </w:tr>
      <w:tr>
        <w:trPr>
          <w:trHeight w:val="69"/>
        </w:trPr>
        <w:tc>
          <w:tcPr>
            <w:tcW w:w="840" w:type="dxa"/>
            <w:vAlign w:val="bottom"/>
            <w:vMerge w:val="continue"/>
          </w:tcPr>
          <w:p>
            <w:pPr>
              <w:spacing w:after="0"/>
              <w:rPr>
                <w:sz w:val="5"/>
                <w:szCs w:val="5"/>
                <w:color w:val="auto"/>
              </w:rPr>
            </w:pPr>
          </w:p>
        </w:tc>
        <w:tc>
          <w:tcPr>
            <w:tcW w:w="720" w:type="dxa"/>
            <w:vAlign w:val="bottom"/>
            <w:vMerge w:val="continue"/>
          </w:tcPr>
          <w:p>
            <w:pPr>
              <w:spacing w:after="0"/>
              <w:rPr>
                <w:sz w:val="5"/>
                <w:szCs w:val="5"/>
                <w:color w:val="auto"/>
              </w:rPr>
            </w:pPr>
          </w:p>
        </w:tc>
        <w:tc>
          <w:tcPr>
            <w:tcW w:w="740" w:type="dxa"/>
            <w:vAlign w:val="bottom"/>
            <w:vMerge w:val="continue"/>
          </w:tcPr>
          <w:p>
            <w:pPr>
              <w:spacing w:after="0"/>
              <w:rPr>
                <w:sz w:val="5"/>
                <w:szCs w:val="5"/>
                <w:color w:val="auto"/>
              </w:rPr>
            </w:pPr>
          </w:p>
        </w:tc>
        <w:tc>
          <w:tcPr>
            <w:tcW w:w="1480" w:type="dxa"/>
            <w:vAlign w:val="bottom"/>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880" w:type="dxa"/>
            <w:vAlign w:val="bottom"/>
          </w:tcPr>
          <w:p>
            <w:pPr>
              <w:spacing w:after="0"/>
              <w:rPr>
                <w:sz w:val="5"/>
                <w:szCs w:val="5"/>
                <w:color w:val="auto"/>
              </w:rPr>
            </w:pPr>
          </w:p>
        </w:tc>
        <w:tc>
          <w:tcPr>
            <w:tcW w:w="780" w:type="dxa"/>
            <w:vAlign w:val="bottom"/>
            <w:vMerge w:val="continue"/>
          </w:tcPr>
          <w:p>
            <w:pPr>
              <w:spacing w:after="0"/>
              <w:rPr>
                <w:sz w:val="5"/>
                <w:szCs w:val="5"/>
                <w:color w:val="auto"/>
              </w:rPr>
            </w:pPr>
          </w:p>
        </w:tc>
        <w:tc>
          <w:tcPr>
            <w:tcW w:w="720" w:type="dxa"/>
            <w:vAlign w:val="bottom"/>
            <w:vMerge w:val="continue"/>
          </w:tcPr>
          <w:p>
            <w:pPr>
              <w:spacing w:after="0"/>
              <w:rPr>
                <w:sz w:val="5"/>
                <w:szCs w:val="5"/>
                <w:color w:val="auto"/>
              </w:rPr>
            </w:pPr>
          </w:p>
        </w:tc>
        <w:tc>
          <w:tcPr>
            <w:tcW w:w="1020" w:type="dxa"/>
            <w:vAlign w:val="bottom"/>
            <w:vMerge w:val="continue"/>
          </w:tcPr>
          <w:p>
            <w:pPr>
              <w:spacing w:after="0"/>
              <w:rPr>
                <w:sz w:val="5"/>
                <w:szCs w:val="5"/>
                <w:color w:val="auto"/>
              </w:rPr>
            </w:pPr>
          </w:p>
        </w:tc>
        <w:tc>
          <w:tcPr>
            <w:tcW w:w="16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6"/>
        </w:trPr>
        <w:tc>
          <w:tcPr>
            <w:tcW w:w="840" w:type="dxa"/>
            <w:vAlign w:val="bottom"/>
          </w:tcPr>
          <w:p>
            <w:pPr>
              <w:jc w:val="center"/>
              <w:spacing w:after="0"/>
              <w:rPr>
                <w:sz w:val="20"/>
                <w:szCs w:val="20"/>
                <w:color w:val="auto"/>
              </w:rPr>
            </w:pPr>
            <w:r>
              <w:rPr>
                <w:rFonts w:ascii="Arial" w:cs="Arial" w:eastAsia="Arial" w:hAnsi="Arial"/>
                <w:sz w:val="17"/>
                <w:szCs w:val="17"/>
                <w:color w:val="auto"/>
              </w:rPr>
              <w:t>J393</w:t>
            </w:r>
          </w:p>
        </w:tc>
        <w:tc>
          <w:tcPr>
            <w:tcW w:w="720" w:type="dxa"/>
            <w:vAlign w:val="bottom"/>
          </w:tcPr>
          <w:p>
            <w:pPr>
              <w:jc w:val="center"/>
              <w:spacing w:after="0"/>
              <w:rPr>
                <w:sz w:val="20"/>
                <w:szCs w:val="20"/>
                <w:color w:val="auto"/>
              </w:rPr>
            </w:pPr>
            <w:r>
              <w:rPr>
                <w:rFonts w:ascii="Arial" w:cs="Arial" w:eastAsia="Arial" w:hAnsi="Arial"/>
                <w:sz w:val="17"/>
                <w:szCs w:val="17"/>
                <w:color w:val="auto"/>
                <w:w w:val="98"/>
              </w:rPr>
              <w:t>J393-D</w:t>
            </w:r>
          </w:p>
        </w:tc>
        <w:tc>
          <w:tcPr>
            <w:tcW w:w="740" w:type="dxa"/>
            <w:vAlign w:val="bottom"/>
          </w:tcPr>
          <w:p>
            <w:pPr>
              <w:jc w:val="right"/>
              <w:spacing w:after="0"/>
              <w:rPr>
                <w:sz w:val="20"/>
                <w:szCs w:val="20"/>
                <w:color w:val="auto"/>
              </w:rPr>
            </w:pPr>
            <w:r>
              <w:rPr>
                <w:rFonts w:ascii="Arial" w:cs="Arial" w:eastAsia="Arial" w:hAnsi="Arial"/>
                <w:sz w:val="17"/>
                <w:szCs w:val="17"/>
                <w:color w:val="auto"/>
              </w:rPr>
              <w:t>1950.35</w:t>
            </w:r>
          </w:p>
        </w:tc>
        <w:tc>
          <w:tcPr>
            <w:tcW w:w="1480" w:type="dxa"/>
            <w:vAlign w:val="bottom"/>
          </w:tcPr>
          <w:p>
            <w:pPr>
              <w:spacing w:after="0"/>
              <w:rPr>
                <w:sz w:val="17"/>
                <w:szCs w:val="17"/>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4.216</w:t>
            </w:r>
          </w:p>
        </w:tc>
        <w:tc>
          <w:tcPr>
            <w:tcW w:w="8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rPr>
              <w:t>4.41</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0.016 5</w:t>
            </w:r>
          </w:p>
        </w:tc>
        <w:tc>
          <w:tcPr>
            <w:tcW w:w="1620" w:type="dxa"/>
            <w:vAlign w:val="bottom"/>
          </w:tcPr>
          <w:p>
            <w:pPr>
              <w:jc w:val="center"/>
              <w:spacing w:after="0"/>
              <w:rPr>
                <w:sz w:val="20"/>
                <w:szCs w:val="20"/>
                <w:color w:val="auto"/>
              </w:rPr>
            </w:pPr>
            <w:r>
              <w:rPr>
                <w:rFonts w:ascii="Arial" w:cs="Arial" w:eastAsia="Arial" w:hAnsi="Arial"/>
                <w:sz w:val="17"/>
                <w:szCs w:val="17"/>
                <w:color w:val="auto"/>
                <w:w w:val="99"/>
              </w:rPr>
              <w:t>Undeveloped</w:t>
            </w:r>
          </w:p>
        </w:tc>
        <w:tc>
          <w:tcPr>
            <w:tcW w:w="0" w:type="dxa"/>
            <w:vAlign w:val="bottom"/>
          </w:tcPr>
          <w:p>
            <w:pPr>
              <w:spacing w:after="0"/>
              <w:rPr>
                <w:sz w:val="1"/>
                <w:szCs w:val="1"/>
                <w:color w:val="auto"/>
              </w:rPr>
            </w:pPr>
          </w:p>
        </w:tc>
      </w:tr>
      <w:tr>
        <w:trPr>
          <w:trHeight w:val="196"/>
        </w:trPr>
        <w:tc>
          <w:tcPr>
            <w:tcW w:w="840" w:type="dxa"/>
            <w:vAlign w:val="bottom"/>
          </w:tcPr>
          <w:p>
            <w:pPr>
              <w:jc w:val="center"/>
              <w:spacing w:after="0"/>
              <w:rPr>
                <w:sz w:val="20"/>
                <w:szCs w:val="20"/>
                <w:color w:val="auto"/>
              </w:rPr>
            </w:pPr>
            <w:r>
              <w:rPr>
                <w:rFonts w:ascii="Arial" w:cs="Arial" w:eastAsia="Arial" w:hAnsi="Arial"/>
                <w:sz w:val="17"/>
                <w:szCs w:val="17"/>
                <w:color w:val="auto"/>
              </w:rPr>
              <w:t>J191</w:t>
            </w:r>
          </w:p>
        </w:tc>
        <w:tc>
          <w:tcPr>
            <w:tcW w:w="720" w:type="dxa"/>
            <w:vAlign w:val="bottom"/>
          </w:tcPr>
          <w:p>
            <w:pPr>
              <w:jc w:val="center"/>
              <w:spacing w:after="0"/>
              <w:rPr>
                <w:sz w:val="20"/>
                <w:szCs w:val="20"/>
                <w:color w:val="auto"/>
              </w:rPr>
            </w:pPr>
            <w:r>
              <w:rPr>
                <w:rFonts w:ascii="Arial" w:cs="Arial" w:eastAsia="Arial" w:hAnsi="Arial"/>
                <w:sz w:val="17"/>
                <w:szCs w:val="17"/>
                <w:color w:val="auto"/>
              </w:rPr>
              <w:t>J191-E</w:t>
            </w:r>
          </w:p>
        </w:tc>
        <w:tc>
          <w:tcPr>
            <w:tcW w:w="740" w:type="dxa"/>
            <w:vAlign w:val="bottom"/>
          </w:tcPr>
          <w:p>
            <w:pPr>
              <w:jc w:val="right"/>
              <w:spacing w:after="0"/>
              <w:rPr>
                <w:sz w:val="20"/>
                <w:szCs w:val="20"/>
                <w:color w:val="auto"/>
              </w:rPr>
            </w:pPr>
            <w:r>
              <w:rPr>
                <w:rFonts w:ascii="Arial" w:cs="Arial" w:eastAsia="Arial" w:hAnsi="Arial"/>
                <w:sz w:val="17"/>
                <w:szCs w:val="17"/>
                <w:color w:val="auto"/>
              </w:rPr>
              <w:t>1838.11</w:t>
            </w:r>
          </w:p>
        </w:tc>
        <w:tc>
          <w:tcPr>
            <w:tcW w:w="1480" w:type="dxa"/>
            <w:vAlign w:val="bottom"/>
          </w:tcPr>
          <w:p>
            <w:pPr>
              <w:spacing w:after="0"/>
              <w:rPr>
                <w:sz w:val="17"/>
                <w:szCs w:val="17"/>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3.240</w:t>
            </w:r>
          </w:p>
        </w:tc>
        <w:tc>
          <w:tcPr>
            <w:tcW w:w="8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rPr>
              <w:t>6.45</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0.022 5</w:t>
            </w:r>
          </w:p>
        </w:tc>
        <w:tc>
          <w:tcPr>
            <w:tcW w:w="1620" w:type="dxa"/>
            <w:vAlign w:val="bottom"/>
          </w:tcPr>
          <w:p>
            <w:pPr>
              <w:jc w:val="center"/>
              <w:spacing w:after="0"/>
              <w:rPr>
                <w:sz w:val="20"/>
                <w:szCs w:val="20"/>
                <w:color w:val="auto"/>
              </w:rPr>
            </w:pPr>
            <w:r>
              <w:rPr>
                <w:rFonts w:ascii="Arial" w:cs="Arial" w:eastAsia="Arial" w:hAnsi="Arial"/>
                <w:sz w:val="17"/>
                <w:szCs w:val="17"/>
                <w:color w:val="auto"/>
                <w:w w:val="99"/>
              </w:rPr>
              <w:t>Undeveloped</w:t>
            </w:r>
          </w:p>
        </w:tc>
        <w:tc>
          <w:tcPr>
            <w:tcW w:w="0" w:type="dxa"/>
            <w:vAlign w:val="bottom"/>
          </w:tcPr>
          <w:p>
            <w:pPr>
              <w:spacing w:after="0"/>
              <w:rPr>
                <w:sz w:val="1"/>
                <w:szCs w:val="1"/>
                <w:color w:val="auto"/>
              </w:rPr>
            </w:pPr>
          </w:p>
        </w:tc>
      </w:tr>
      <w:tr>
        <w:trPr>
          <w:trHeight w:val="194"/>
        </w:trPr>
        <w:tc>
          <w:tcPr>
            <w:tcW w:w="840" w:type="dxa"/>
            <w:vAlign w:val="bottom"/>
          </w:tcPr>
          <w:p>
            <w:pPr>
              <w:jc w:val="center"/>
              <w:spacing w:after="0" w:line="194" w:lineRule="exact"/>
              <w:rPr>
                <w:sz w:val="20"/>
                <w:szCs w:val="20"/>
                <w:color w:val="auto"/>
              </w:rPr>
            </w:pPr>
            <w:r>
              <w:rPr>
                <w:rFonts w:ascii="Arial" w:cs="Arial" w:eastAsia="Arial" w:hAnsi="Arial"/>
                <w:sz w:val="17"/>
                <w:szCs w:val="17"/>
                <w:color w:val="auto"/>
                <w:w w:val="97"/>
              </w:rPr>
              <w:t>T234</w:t>
            </w:r>
          </w:p>
        </w:tc>
        <w:tc>
          <w:tcPr>
            <w:tcW w:w="720" w:type="dxa"/>
            <w:vAlign w:val="bottom"/>
          </w:tcPr>
          <w:p>
            <w:pPr>
              <w:jc w:val="center"/>
              <w:spacing w:after="0" w:line="194" w:lineRule="exact"/>
              <w:rPr>
                <w:sz w:val="20"/>
                <w:szCs w:val="20"/>
                <w:color w:val="auto"/>
              </w:rPr>
            </w:pPr>
            <w:r>
              <w:rPr>
                <w:rFonts w:ascii="Arial" w:cs="Arial" w:eastAsia="Arial" w:hAnsi="Arial"/>
                <w:sz w:val="17"/>
                <w:szCs w:val="17"/>
                <w:color w:val="auto"/>
              </w:rPr>
              <w:t>T234-A</w:t>
            </w:r>
          </w:p>
        </w:tc>
        <w:tc>
          <w:tcPr>
            <w:tcW w:w="740" w:type="dxa"/>
            <w:vAlign w:val="bottom"/>
          </w:tcPr>
          <w:p>
            <w:pPr>
              <w:jc w:val="right"/>
              <w:spacing w:after="0" w:line="194" w:lineRule="exact"/>
              <w:rPr>
                <w:sz w:val="20"/>
                <w:szCs w:val="20"/>
                <w:color w:val="auto"/>
              </w:rPr>
            </w:pPr>
            <w:r>
              <w:rPr>
                <w:rFonts w:ascii="Arial" w:cs="Arial" w:eastAsia="Arial" w:hAnsi="Arial"/>
                <w:sz w:val="17"/>
                <w:szCs w:val="17"/>
                <w:color w:val="auto"/>
              </w:rPr>
              <w:t>1772.30</w:t>
            </w:r>
          </w:p>
        </w:tc>
        <w:tc>
          <w:tcPr>
            <w:tcW w:w="1480" w:type="dxa"/>
            <w:vAlign w:val="bottom"/>
          </w:tcPr>
          <w:p>
            <w:pPr>
              <w:spacing w:after="0"/>
              <w:rPr>
                <w:sz w:val="16"/>
                <w:szCs w:val="16"/>
                <w:color w:val="auto"/>
              </w:rPr>
            </w:pPr>
          </w:p>
        </w:tc>
        <w:tc>
          <w:tcPr>
            <w:tcW w:w="660" w:type="dxa"/>
            <w:vAlign w:val="bottom"/>
          </w:tcPr>
          <w:p>
            <w:pPr>
              <w:jc w:val="center"/>
              <w:spacing w:after="0" w:line="194" w:lineRule="exact"/>
              <w:rPr>
                <w:sz w:val="20"/>
                <w:szCs w:val="20"/>
                <w:color w:val="auto"/>
              </w:rPr>
            </w:pPr>
            <w:r>
              <w:rPr>
                <w:rFonts w:ascii="Arial" w:cs="Arial" w:eastAsia="Arial" w:hAnsi="Arial"/>
                <w:sz w:val="17"/>
                <w:szCs w:val="17"/>
                <w:color w:val="auto"/>
              </w:rPr>
              <w:t>3.590</w:t>
            </w:r>
          </w:p>
        </w:tc>
        <w:tc>
          <w:tcPr>
            <w:tcW w:w="88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720" w:type="dxa"/>
            <w:vAlign w:val="bottom"/>
          </w:tcPr>
          <w:p>
            <w:pPr>
              <w:jc w:val="center"/>
              <w:spacing w:after="0" w:line="194" w:lineRule="exact"/>
              <w:rPr>
                <w:sz w:val="20"/>
                <w:szCs w:val="20"/>
                <w:color w:val="auto"/>
              </w:rPr>
            </w:pPr>
            <w:r>
              <w:rPr>
                <w:rFonts w:ascii="Arial" w:cs="Arial" w:eastAsia="Arial" w:hAnsi="Arial"/>
                <w:sz w:val="17"/>
                <w:szCs w:val="17"/>
                <w:color w:val="auto"/>
                <w:w w:val="98"/>
              </w:rPr>
              <w:t>16.26</w:t>
            </w:r>
          </w:p>
        </w:tc>
        <w:tc>
          <w:tcPr>
            <w:tcW w:w="1020" w:type="dxa"/>
            <w:vAlign w:val="bottom"/>
          </w:tcPr>
          <w:p>
            <w:pPr>
              <w:jc w:val="center"/>
              <w:spacing w:after="0" w:line="194" w:lineRule="exact"/>
              <w:rPr>
                <w:sz w:val="20"/>
                <w:szCs w:val="20"/>
                <w:color w:val="auto"/>
              </w:rPr>
            </w:pPr>
            <w:r>
              <w:rPr>
                <w:rFonts w:ascii="Arial" w:cs="Arial" w:eastAsia="Arial" w:hAnsi="Arial"/>
                <w:sz w:val="17"/>
                <w:szCs w:val="17"/>
                <w:color w:val="auto"/>
                <w:w w:val="98"/>
              </w:rPr>
              <w:t>1.830 0</w:t>
            </w:r>
          </w:p>
        </w:tc>
        <w:tc>
          <w:tcPr>
            <w:tcW w:w="1620" w:type="dxa"/>
            <w:vAlign w:val="bottom"/>
          </w:tcPr>
          <w:p>
            <w:pPr>
              <w:jc w:val="center"/>
              <w:spacing w:after="0" w:line="194" w:lineRule="exact"/>
              <w:rPr>
                <w:sz w:val="20"/>
                <w:szCs w:val="20"/>
                <w:color w:val="auto"/>
              </w:rPr>
            </w:pPr>
            <w:r>
              <w:rPr>
                <w:rFonts w:ascii="Arial" w:cs="Arial" w:eastAsia="Arial" w:hAnsi="Arial"/>
                <w:sz w:val="17"/>
                <w:szCs w:val="17"/>
                <w:color w:val="auto"/>
                <w:w w:val="98"/>
              </w:rPr>
              <w:t>Developed</w:t>
            </w:r>
          </w:p>
        </w:tc>
        <w:tc>
          <w:tcPr>
            <w:tcW w:w="0" w:type="dxa"/>
            <w:vAlign w:val="bottom"/>
          </w:tcPr>
          <w:p>
            <w:pPr>
              <w:spacing w:after="0"/>
              <w:rPr>
                <w:sz w:val="1"/>
                <w:szCs w:val="1"/>
                <w:color w:val="auto"/>
              </w:rPr>
            </w:pPr>
          </w:p>
        </w:tc>
      </w:tr>
      <w:tr>
        <w:trPr>
          <w:trHeight w:val="196"/>
        </w:trPr>
        <w:tc>
          <w:tcPr>
            <w:tcW w:w="840" w:type="dxa"/>
            <w:vAlign w:val="bottom"/>
          </w:tcPr>
          <w:p>
            <w:pPr>
              <w:jc w:val="center"/>
              <w:spacing w:after="0"/>
              <w:rPr>
                <w:sz w:val="20"/>
                <w:szCs w:val="20"/>
                <w:color w:val="auto"/>
              </w:rPr>
            </w:pPr>
            <w:r>
              <w:rPr>
                <w:rFonts w:ascii="Arial" w:cs="Arial" w:eastAsia="Arial" w:hAnsi="Arial"/>
                <w:sz w:val="17"/>
                <w:szCs w:val="17"/>
                <w:color w:val="auto"/>
                <w:w w:val="97"/>
              </w:rPr>
              <w:t>T234</w:t>
            </w:r>
          </w:p>
        </w:tc>
        <w:tc>
          <w:tcPr>
            <w:tcW w:w="720" w:type="dxa"/>
            <w:vAlign w:val="bottom"/>
          </w:tcPr>
          <w:p>
            <w:pPr>
              <w:jc w:val="center"/>
              <w:spacing w:after="0"/>
              <w:rPr>
                <w:sz w:val="20"/>
                <w:szCs w:val="20"/>
                <w:color w:val="auto"/>
              </w:rPr>
            </w:pPr>
            <w:r>
              <w:rPr>
                <w:rFonts w:ascii="Arial" w:cs="Arial" w:eastAsia="Arial" w:hAnsi="Arial"/>
                <w:sz w:val="17"/>
                <w:szCs w:val="17"/>
                <w:color w:val="auto"/>
              </w:rPr>
              <w:t>T234–B</w:t>
            </w:r>
          </w:p>
        </w:tc>
        <w:tc>
          <w:tcPr>
            <w:tcW w:w="740" w:type="dxa"/>
            <w:vAlign w:val="bottom"/>
          </w:tcPr>
          <w:p>
            <w:pPr>
              <w:jc w:val="right"/>
              <w:spacing w:after="0"/>
              <w:rPr>
                <w:sz w:val="20"/>
                <w:szCs w:val="20"/>
                <w:color w:val="auto"/>
              </w:rPr>
            </w:pPr>
            <w:r>
              <w:rPr>
                <w:rFonts w:ascii="Arial" w:cs="Arial" w:eastAsia="Arial" w:hAnsi="Arial"/>
                <w:sz w:val="17"/>
                <w:szCs w:val="17"/>
                <w:color w:val="auto"/>
              </w:rPr>
              <w:t>1771.18</w:t>
            </w:r>
          </w:p>
        </w:tc>
        <w:tc>
          <w:tcPr>
            <w:tcW w:w="1480" w:type="dxa"/>
            <w:vAlign w:val="bottom"/>
          </w:tcPr>
          <w:p>
            <w:pPr>
              <w:spacing w:after="0"/>
              <w:rPr>
                <w:sz w:val="17"/>
                <w:szCs w:val="17"/>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3.927</w:t>
            </w:r>
          </w:p>
        </w:tc>
        <w:tc>
          <w:tcPr>
            <w:tcW w:w="8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w w:val="98"/>
              </w:rPr>
              <w:t>11.88</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0.214 9</w:t>
            </w:r>
          </w:p>
        </w:tc>
        <w:tc>
          <w:tcPr>
            <w:tcW w:w="1620" w:type="dxa"/>
            <w:vAlign w:val="bottom"/>
          </w:tcPr>
          <w:p>
            <w:pPr>
              <w:jc w:val="center"/>
              <w:spacing w:after="0"/>
              <w:rPr>
                <w:sz w:val="20"/>
                <w:szCs w:val="20"/>
                <w:color w:val="auto"/>
              </w:rPr>
            </w:pPr>
            <w:r>
              <w:rPr>
                <w:rFonts w:ascii="Arial" w:cs="Arial" w:eastAsia="Arial" w:hAnsi="Arial"/>
                <w:sz w:val="17"/>
                <w:szCs w:val="17"/>
                <w:color w:val="auto"/>
                <w:w w:val="99"/>
              </w:rPr>
              <w:t>Relatively developed</w:t>
            </w:r>
          </w:p>
        </w:tc>
        <w:tc>
          <w:tcPr>
            <w:tcW w:w="0" w:type="dxa"/>
            <w:vAlign w:val="bottom"/>
          </w:tcPr>
          <w:p>
            <w:pPr>
              <w:spacing w:after="0"/>
              <w:rPr>
                <w:sz w:val="1"/>
                <w:szCs w:val="1"/>
                <w:color w:val="auto"/>
              </w:rPr>
            </w:pPr>
          </w:p>
        </w:tc>
      </w:tr>
      <w:tr>
        <w:trPr>
          <w:trHeight w:val="195"/>
        </w:trPr>
        <w:tc>
          <w:tcPr>
            <w:tcW w:w="840" w:type="dxa"/>
            <w:vAlign w:val="bottom"/>
          </w:tcPr>
          <w:p>
            <w:pPr>
              <w:jc w:val="center"/>
              <w:spacing w:after="0"/>
              <w:rPr>
                <w:sz w:val="20"/>
                <w:szCs w:val="20"/>
                <w:color w:val="auto"/>
              </w:rPr>
            </w:pPr>
            <w:r>
              <w:rPr>
                <w:rFonts w:ascii="Arial" w:cs="Arial" w:eastAsia="Arial" w:hAnsi="Arial"/>
                <w:sz w:val="17"/>
                <w:szCs w:val="17"/>
                <w:color w:val="auto"/>
              </w:rPr>
              <w:t>L29</w:t>
            </w:r>
          </w:p>
        </w:tc>
        <w:tc>
          <w:tcPr>
            <w:tcW w:w="720" w:type="dxa"/>
            <w:vAlign w:val="bottom"/>
          </w:tcPr>
          <w:p>
            <w:pPr>
              <w:jc w:val="center"/>
              <w:spacing w:after="0"/>
              <w:rPr>
                <w:sz w:val="20"/>
                <w:szCs w:val="20"/>
                <w:color w:val="auto"/>
              </w:rPr>
            </w:pPr>
            <w:r>
              <w:rPr>
                <w:rFonts w:ascii="Arial" w:cs="Arial" w:eastAsia="Arial" w:hAnsi="Arial"/>
                <w:sz w:val="17"/>
                <w:szCs w:val="17"/>
                <w:color w:val="auto"/>
              </w:rPr>
              <w:t>L29-B</w:t>
            </w:r>
          </w:p>
        </w:tc>
        <w:tc>
          <w:tcPr>
            <w:tcW w:w="740" w:type="dxa"/>
            <w:vAlign w:val="bottom"/>
          </w:tcPr>
          <w:p>
            <w:pPr>
              <w:jc w:val="right"/>
              <w:spacing w:after="0"/>
              <w:rPr>
                <w:sz w:val="20"/>
                <w:szCs w:val="20"/>
                <w:color w:val="auto"/>
              </w:rPr>
            </w:pPr>
            <w:r>
              <w:rPr>
                <w:rFonts w:ascii="Arial" w:cs="Arial" w:eastAsia="Arial" w:hAnsi="Arial"/>
                <w:sz w:val="17"/>
                <w:szCs w:val="17"/>
                <w:color w:val="auto"/>
              </w:rPr>
              <w:t>1918.92</w:t>
            </w:r>
          </w:p>
        </w:tc>
        <w:tc>
          <w:tcPr>
            <w:tcW w:w="1480" w:type="dxa"/>
            <w:vAlign w:val="bottom"/>
          </w:tcPr>
          <w:p>
            <w:pPr>
              <w:spacing w:after="0"/>
              <w:rPr>
                <w:sz w:val="16"/>
                <w:szCs w:val="16"/>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3.050</w:t>
            </w:r>
          </w:p>
        </w:tc>
        <w:tc>
          <w:tcPr>
            <w:tcW w:w="88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w w:val="98"/>
              </w:rPr>
              <w:t>14.46</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0.066 6</w:t>
            </w:r>
          </w:p>
        </w:tc>
        <w:tc>
          <w:tcPr>
            <w:tcW w:w="1620" w:type="dxa"/>
            <w:vAlign w:val="bottom"/>
          </w:tcPr>
          <w:p>
            <w:pPr>
              <w:jc w:val="center"/>
              <w:spacing w:after="0"/>
              <w:rPr>
                <w:sz w:val="20"/>
                <w:szCs w:val="20"/>
                <w:color w:val="auto"/>
              </w:rPr>
            </w:pPr>
            <w:r>
              <w:rPr>
                <w:rFonts w:ascii="Arial" w:cs="Arial" w:eastAsia="Arial" w:hAnsi="Arial"/>
                <w:sz w:val="17"/>
                <w:szCs w:val="17"/>
                <w:color w:val="auto"/>
                <w:w w:val="99"/>
              </w:rPr>
              <w:t>Underdeveloped</w:t>
            </w:r>
          </w:p>
        </w:tc>
        <w:tc>
          <w:tcPr>
            <w:tcW w:w="0" w:type="dxa"/>
            <w:vAlign w:val="bottom"/>
          </w:tcPr>
          <w:p>
            <w:pPr>
              <w:spacing w:after="0"/>
              <w:rPr>
                <w:sz w:val="1"/>
                <w:szCs w:val="1"/>
                <w:color w:val="auto"/>
              </w:rPr>
            </w:pPr>
          </w:p>
        </w:tc>
      </w:tr>
      <w:tr>
        <w:trPr>
          <w:trHeight w:val="205"/>
        </w:trPr>
        <w:tc>
          <w:tcPr>
            <w:tcW w:w="840" w:type="dxa"/>
            <w:vAlign w:val="bottom"/>
          </w:tcPr>
          <w:p>
            <w:pPr>
              <w:jc w:val="center"/>
              <w:spacing w:after="0"/>
              <w:rPr>
                <w:sz w:val="20"/>
                <w:szCs w:val="20"/>
                <w:color w:val="auto"/>
              </w:rPr>
            </w:pPr>
            <w:r>
              <w:rPr>
                <w:rFonts w:ascii="Arial" w:cs="Arial" w:eastAsia="Arial" w:hAnsi="Arial"/>
                <w:sz w:val="17"/>
                <w:szCs w:val="17"/>
                <w:color w:val="auto"/>
              </w:rPr>
              <w:t>L23</w:t>
            </w:r>
          </w:p>
        </w:tc>
        <w:tc>
          <w:tcPr>
            <w:tcW w:w="720" w:type="dxa"/>
            <w:vAlign w:val="bottom"/>
          </w:tcPr>
          <w:p>
            <w:pPr>
              <w:jc w:val="center"/>
              <w:spacing w:after="0"/>
              <w:rPr>
                <w:sz w:val="20"/>
                <w:szCs w:val="20"/>
                <w:color w:val="auto"/>
              </w:rPr>
            </w:pPr>
            <w:r>
              <w:rPr>
                <w:rFonts w:ascii="Arial" w:cs="Arial" w:eastAsia="Arial" w:hAnsi="Arial"/>
                <w:sz w:val="17"/>
                <w:szCs w:val="17"/>
                <w:color w:val="auto"/>
              </w:rPr>
              <w:t>L23-B</w:t>
            </w:r>
          </w:p>
        </w:tc>
        <w:tc>
          <w:tcPr>
            <w:tcW w:w="740" w:type="dxa"/>
            <w:vAlign w:val="bottom"/>
          </w:tcPr>
          <w:p>
            <w:pPr>
              <w:jc w:val="right"/>
              <w:spacing w:after="0"/>
              <w:rPr>
                <w:sz w:val="20"/>
                <w:szCs w:val="20"/>
                <w:color w:val="auto"/>
              </w:rPr>
            </w:pPr>
            <w:r>
              <w:rPr>
                <w:rFonts w:ascii="Arial" w:cs="Arial" w:eastAsia="Arial" w:hAnsi="Arial"/>
                <w:sz w:val="17"/>
                <w:szCs w:val="17"/>
                <w:color w:val="auto"/>
              </w:rPr>
              <w:t>1882.00</w:t>
            </w:r>
          </w:p>
        </w:tc>
        <w:tc>
          <w:tcPr>
            <w:tcW w:w="1480" w:type="dxa"/>
            <w:vAlign w:val="bottom"/>
          </w:tcPr>
          <w:p>
            <w:pPr>
              <w:spacing w:after="0"/>
              <w:rPr>
                <w:sz w:val="17"/>
                <w:szCs w:val="17"/>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3.244</w:t>
            </w:r>
          </w:p>
        </w:tc>
        <w:tc>
          <w:tcPr>
            <w:tcW w:w="8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rPr>
              <w:t>9.41</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0.067 7</w:t>
            </w:r>
          </w:p>
        </w:tc>
        <w:tc>
          <w:tcPr>
            <w:tcW w:w="1620" w:type="dxa"/>
            <w:vAlign w:val="bottom"/>
          </w:tcPr>
          <w:p>
            <w:pPr>
              <w:jc w:val="center"/>
              <w:spacing w:after="0"/>
              <w:rPr>
                <w:sz w:val="20"/>
                <w:szCs w:val="20"/>
                <w:color w:val="auto"/>
              </w:rPr>
            </w:pPr>
            <w:r>
              <w:rPr>
                <w:rFonts w:ascii="Arial" w:cs="Arial" w:eastAsia="Arial" w:hAnsi="Arial"/>
                <w:sz w:val="17"/>
                <w:szCs w:val="17"/>
                <w:color w:val="auto"/>
                <w:w w:val="99"/>
              </w:rPr>
              <w:t>Underdeveloped</w:t>
            </w:r>
          </w:p>
        </w:tc>
        <w:tc>
          <w:tcPr>
            <w:tcW w:w="0" w:type="dxa"/>
            <w:vAlign w:val="bottom"/>
          </w:tcPr>
          <w:p>
            <w:pPr>
              <w:spacing w:after="0"/>
              <w:rPr>
                <w:sz w:val="1"/>
                <w:szCs w:val="1"/>
                <w:color w:val="auto"/>
              </w:rPr>
            </w:pPr>
          </w:p>
        </w:tc>
      </w:tr>
      <w:tr>
        <w:trPr>
          <w:trHeight w:val="196"/>
        </w:trPr>
        <w:tc>
          <w:tcPr>
            <w:tcW w:w="840" w:type="dxa"/>
            <w:vAlign w:val="bottom"/>
          </w:tcPr>
          <w:p>
            <w:pPr>
              <w:jc w:val="center"/>
              <w:spacing w:after="0"/>
              <w:rPr>
                <w:sz w:val="20"/>
                <w:szCs w:val="20"/>
                <w:color w:val="auto"/>
              </w:rPr>
            </w:pPr>
            <w:r>
              <w:rPr>
                <w:rFonts w:ascii="Arial" w:cs="Arial" w:eastAsia="Arial" w:hAnsi="Arial"/>
                <w:sz w:val="17"/>
                <w:szCs w:val="17"/>
                <w:color w:val="auto"/>
                <w:w w:val="98"/>
              </w:rPr>
              <w:t>Ma56</w:t>
            </w:r>
          </w:p>
        </w:tc>
        <w:tc>
          <w:tcPr>
            <w:tcW w:w="720" w:type="dxa"/>
            <w:vAlign w:val="bottom"/>
          </w:tcPr>
          <w:p>
            <w:pPr>
              <w:jc w:val="center"/>
              <w:spacing w:after="0"/>
              <w:rPr>
                <w:sz w:val="20"/>
                <w:szCs w:val="20"/>
                <w:color w:val="auto"/>
              </w:rPr>
            </w:pPr>
            <w:r>
              <w:rPr>
                <w:rFonts w:ascii="Arial" w:cs="Arial" w:eastAsia="Arial" w:hAnsi="Arial"/>
                <w:sz w:val="17"/>
                <w:szCs w:val="17"/>
                <w:color w:val="auto"/>
              </w:rPr>
              <w:t>M56-3</w:t>
            </w:r>
          </w:p>
        </w:tc>
        <w:tc>
          <w:tcPr>
            <w:tcW w:w="740" w:type="dxa"/>
            <w:vAlign w:val="bottom"/>
          </w:tcPr>
          <w:p>
            <w:pPr>
              <w:jc w:val="right"/>
              <w:spacing w:after="0"/>
              <w:rPr>
                <w:sz w:val="20"/>
                <w:szCs w:val="20"/>
                <w:color w:val="auto"/>
              </w:rPr>
            </w:pPr>
            <w:r>
              <w:rPr>
                <w:rFonts w:ascii="Arial" w:cs="Arial" w:eastAsia="Arial" w:hAnsi="Arial"/>
                <w:sz w:val="17"/>
                <w:szCs w:val="17"/>
                <w:color w:val="auto"/>
              </w:rPr>
              <w:t>2142.80</w:t>
            </w:r>
          </w:p>
        </w:tc>
        <w:tc>
          <w:tcPr>
            <w:tcW w:w="1480" w:type="dxa"/>
            <w:vAlign w:val="bottom"/>
          </w:tcPr>
          <w:p>
            <w:pPr>
              <w:jc w:val="center"/>
              <w:spacing w:after="0"/>
              <w:rPr>
                <w:sz w:val="20"/>
                <w:szCs w:val="20"/>
                <w:color w:val="auto"/>
              </w:rPr>
            </w:pPr>
            <w:r>
              <w:rPr>
                <w:rFonts w:ascii="Arial" w:cs="Arial" w:eastAsia="Arial" w:hAnsi="Arial"/>
                <w:sz w:val="17"/>
                <w:szCs w:val="17"/>
                <w:color w:val="auto"/>
              </w:rPr>
              <w:t>Tiaohu Formation</w:t>
            </w:r>
          </w:p>
        </w:tc>
        <w:tc>
          <w:tcPr>
            <w:tcW w:w="660" w:type="dxa"/>
            <w:vAlign w:val="bottom"/>
          </w:tcPr>
          <w:p>
            <w:pPr>
              <w:jc w:val="center"/>
              <w:spacing w:after="0"/>
              <w:rPr>
                <w:sz w:val="20"/>
                <w:szCs w:val="20"/>
                <w:color w:val="auto"/>
              </w:rPr>
            </w:pPr>
            <w:r>
              <w:rPr>
                <w:rFonts w:ascii="Arial" w:cs="Arial" w:eastAsia="Arial" w:hAnsi="Arial"/>
                <w:sz w:val="17"/>
                <w:szCs w:val="17"/>
                <w:color w:val="auto"/>
              </w:rPr>
              <w:t>5.575</w:t>
            </w:r>
          </w:p>
        </w:tc>
        <w:tc>
          <w:tcPr>
            <w:tcW w:w="880" w:type="dxa"/>
            <w:vAlign w:val="bottom"/>
          </w:tcPr>
          <w:p>
            <w:pPr>
              <w:jc w:val="center"/>
              <w:spacing w:after="0"/>
              <w:rPr>
                <w:sz w:val="20"/>
                <w:szCs w:val="20"/>
                <w:color w:val="auto"/>
              </w:rPr>
            </w:pPr>
            <w:r>
              <w:rPr>
                <w:rFonts w:ascii="Arial" w:cs="Arial" w:eastAsia="Arial" w:hAnsi="Arial"/>
                <w:sz w:val="17"/>
                <w:szCs w:val="17"/>
                <w:color w:val="auto"/>
                <w:w w:val="95"/>
              </w:rPr>
              <w:t>Tuff</w:t>
            </w:r>
          </w:p>
        </w:tc>
        <w:tc>
          <w:tcPr>
            <w:tcW w:w="780" w:type="dxa"/>
            <w:vAlign w:val="bottom"/>
          </w:tcPr>
          <w:p>
            <w:pPr>
              <w:spacing w:after="0"/>
              <w:rPr>
                <w:sz w:val="17"/>
                <w:szCs w:val="17"/>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w w:val="98"/>
              </w:rPr>
              <w:t>27.62</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0.184 5</w:t>
            </w:r>
          </w:p>
        </w:tc>
        <w:tc>
          <w:tcPr>
            <w:tcW w:w="1620" w:type="dxa"/>
            <w:vAlign w:val="bottom"/>
          </w:tcPr>
          <w:p>
            <w:pPr>
              <w:jc w:val="center"/>
              <w:spacing w:after="0"/>
              <w:rPr>
                <w:sz w:val="20"/>
                <w:szCs w:val="20"/>
                <w:color w:val="auto"/>
              </w:rPr>
            </w:pPr>
            <w:r>
              <w:rPr>
                <w:rFonts w:ascii="Arial" w:cs="Arial" w:eastAsia="Arial" w:hAnsi="Arial"/>
                <w:sz w:val="17"/>
                <w:szCs w:val="17"/>
                <w:color w:val="auto"/>
              </w:rPr>
              <w:t>Impenetrable</w:t>
            </w:r>
          </w:p>
        </w:tc>
        <w:tc>
          <w:tcPr>
            <w:tcW w:w="0" w:type="dxa"/>
            <w:vAlign w:val="bottom"/>
          </w:tcPr>
          <w:p>
            <w:pPr>
              <w:spacing w:after="0"/>
              <w:rPr>
                <w:sz w:val="1"/>
                <w:szCs w:val="1"/>
                <w:color w:val="auto"/>
              </w:rPr>
            </w:pPr>
          </w:p>
        </w:tc>
      </w:tr>
      <w:tr>
        <w:trPr>
          <w:trHeight w:val="196"/>
        </w:trPr>
        <w:tc>
          <w:tcPr>
            <w:tcW w:w="840" w:type="dxa"/>
            <w:vAlign w:val="bottom"/>
          </w:tcPr>
          <w:p>
            <w:pPr>
              <w:jc w:val="center"/>
              <w:spacing w:after="0"/>
              <w:rPr>
                <w:sz w:val="20"/>
                <w:szCs w:val="20"/>
                <w:color w:val="auto"/>
              </w:rPr>
            </w:pPr>
            <w:r>
              <w:rPr>
                <w:rFonts w:ascii="Arial" w:cs="Arial" w:eastAsia="Arial" w:hAnsi="Arial"/>
                <w:sz w:val="17"/>
                <w:szCs w:val="17"/>
                <w:color w:val="auto"/>
                <w:w w:val="98"/>
              </w:rPr>
              <w:t>Ma56-12H</w:t>
            </w:r>
          </w:p>
        </w:tc>
        <w:tc>
          <w:tcPr>
            <w:tcW w:w="720" w:type="dxa"/>
            <w:vAlign w:val="bottom"/>
          </w:tcPr>
          <w:p>
            <w:pPr>
              <w:jc w:val="center"/>
              <w:spacing w:after="0"/>
              <w:rPr>
                <w:sz w:val="20"/>
                <w:szCs w:val="20"/>
                <w:color w:val="auto"/>
              </w:rPr>
            </w:pPr>
            <w:r>
              <w:rPr>
                <w:rFonts w:ascii="Arial" w:cs="Arial" w:eastAsia="Arial" w:hAnsi="Arial"/>
                <w:sz w:val="17"/>
                <w:szCs w:val="17"/>
                <w:color w:val="auto"/>
              </w:rPr>
              <w:t>M56H-4</w:t>
            </w:r>
          </w:p>
        </w:tc>
        <w:tc>
          <w:tcPr>
            <w:tcW w:w="740" w:type="dxa"/>
            <w:vAlign w:val="bottom"/>
          </w:tcPr>
          <w:p>
            <w:pPr>
              <w:jc w:val="right"/>
              <w:spacing w:after="0"/>
              <w:rPr>
                <w:sz w:val="20"/>
                <w:szCs w:val="20"/>
                <w:color w:val="auto"/>
              </w:rPr>
            </w:pPr>
            <w:r>
              <w:rPr>
                <w:rFonts w:ascii="Arial" w:cs="Arial" w:eastAsia="Arial" w:hAnsi="Arial"/>
                <w:sz w:val="17"/>
                <w:szCs w:val="17"/>
                <w:color w:val="auto"/>
              </w:rPr>
              <w:t>2130.82</w:t>
            </w:r>
          </w:p>
        </w:tc>
        <w:tc>
          <w:tcPr>
            <w:tcW w:w="1480" w:type="dxa"/>
            <w:vAlign w:val="bottom"/>
          </w:tcPr>
          <w:p>
            <w:pPr>
              <w:jc w:val="center"/>
              <w:spacing w:after="0"/>
              <w:rPr>
                <w:sz w:val="20"/>
                <w:szCs w:val="20"/>
                <w:color w:val="auto"/>
              </w:rPr>
            </w:pPr>
            <w:r>
              <w:rPr>
                <w:rFonts w:ascii="Arial" w:cs="Arial" w:eastAsia="Arial" w:hAnsi="Arial"/>
                <w:sz w:val="17"/>
                <w:szCs w:val="17"/>
                <w:color w:val="auto"/>
              </w:rPr>
              <w:t>Tiaohu Formation</w:t>
            </w:r>
          </w:p>
        </w:tc>
        <w:tc>
          <w:tcPr>
            <w:tcW w:w="660" w:type="dxa"/>
            <w:vAlign w:val="bottom"/>
          </w:tcPr>
          <w:p>
            <w:pPr>
              <w:jc w:val="center"/>
              <w:spacing w:after="0"/>
              <w:rPr>
                <w:sz w:val="20"/>
                <w:szCs w:val="20"/>
                <w:color w:val="auto"/>
              </w:rPr>
            </w:pPr>
            <w:r>
              <w:rPr>
                <w:rFonts w:ascii="Arial" w:cs="Arial" w:eastAsia="Arial" w:hAnsi="Arial"/>
                <w:sz w:val="17"/>
                <w:szCs w:val="17"/>
                <w:color w:val="auto"/>
                <w:w w:val="98"/>
              </w:rPr>
              <w:t>3.127</w:t>
            </w:r>
          </w:p>
        </w:tc>
        <w:tc>
          <w:tcPr>
            <w:tcW w:w="880" w:type="dxa"/>
            <w:vAlign w:val="bottom"/>
          </w:tcPr>
          <w:p>
            <w:pPr>
              <w:jc w:val="center"/>
              <w:spacing w:after="0"/>
              <w:rPr>
                <w:sz w:val="20"/>
                <w:szCs w:val="20"/>
                <w:color w:val="auto"/>
              </w:rPr>
            </w:pPr>
            <w:r>
              <w:rPr>
                <w:rFonts w:ascii="Arial" w:cs="Arial" w:eastAsia="Arial" w:hAnsi="Arial"/>
                <w:sz w:val="17"/>
                <w:szCs w:val="17"/>
                <w:color w:val="auto"/>
                <w:w w:val="95"/>
              </w:rPr>
              <w:t>Tuff</w:t>
            </w:r>
          </w:p>
        </w:tc>
        <w:tc>
          <w:tcPr>
            <w:tcW w:w="780" w:type="dxa"/>
            <w:vAlign w:val="bottom"/>
            <w:vMerge w:val="restart"/>
          </w:tcPr>
          <w:p>
            <w:pPr>
              <w:jc w:val="center"/>
              <w:spacing w:after="0"/>
              <w:rPr>
                <w:sz w:val="20"/>
                <w:szCs w:val="20"/>
                <w:color w:val="auto"/>
              </w:rPr>
            </w:pPr>
            <w:r>
              <w:rPr>
                <w:rFonts w:ascii="Arial" w:cs="Arial" w:eastAsia="Arial" w:hAnsi="Arial"/>
                <w:sz w:val="17"/>
                <w:szCs w:val="17"/>
                <w:color w:val="auto"/>
              </w:rPr>
              <w:t>2.50</w:t>
            </w:r>
          </w:p>
        </w:tc>
        <w:tc>
          <w:tcPr>
            <w:tcW w:w="720" w:type="dxa"/>
            <w:vAlign w:val="bottom"/>
          </w:tcPr>
          <w:p>
            <w:pPr>
              <w:jc w:val="center"/>
              <w:spacing w:after="0"/>
              <w:rPr>
                <w:sz w:val="20"/>
                <w:szCs w:val="20"/>
                <w:color w:val="auto"/>
              </w:rPr>
            </w:pPr>
            <w:r>
              <w:rPr>
                <w:rFonts w:ascii="Arial" w:cs="Arial" w:eastAsia="Arial" w:hAnsi="Arial"/>
                <w:sz w:val="17"/>
                <w:szCs w:val="17"/>
                <w:color w:val="auto"/>
                <w:w w:val="98"/>
              </w:rPr>
              <w:t>14.74</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0.141 0</w:t>
            </w:r>
          </w:p>
        </w:tc>
        <w:tc>
          <w:tcPr>
            <w:tcW w:w="1620" w:type="dxa"/>
            <w:vAlign w:val="bottom"/>
          </w:tcPr>
          <w:p>
            <w:pPr>
              <w:jc w:val="center"/>
              <w:spacing w:after="0"/>
              <w:rPr>
                <w:sz w:val="20"/>
                <w:szCs w:val="20"/>
                <w:color w:val="auto"/>
              </w:rPr>
            </w:pPr>
            <w:r>
              <w:rPr>
                <w:rFonts w:ascii="Arial" w:cs="Arial" w:eastAsia="Arial" w:hAnsi="Arial"/>
                <w:sz w:val="17"/>
                <w:szCs w:val="17"/>
                <w:color w:val="auto"/>
              </w:rPr>
              <w:t>Impenetrable</w:t>
            </w:r>
          </w:p>
        </w:tc>
        <w:tc>
          <w:tcPr>
            <w:tcW w:w="0" w:type="dxa"/>
            <w:vAlign w:val="bottom"/>
          </w:tcPr>
          <w:p>
            <w:pPr>
              <w:spacing w:after="0"/>
              <w:rPr>
                <w:sz w:val="1"/>
                <w:szCs w:val="1"/>
                <w:color w:val="auto"/>
              </w:rPr>
            </w:pPr>
          </w:p>
        </w:tc>
      </w:tr>
      <w:tr>
        <w:trPr>
          <w:trHeight w:val="100"/>
        </w:trPr>
        <w:tc>
          <w:tcPr>
            <w:tcW w:w="840" w:type="dxa"/>
            <w:vAlign w:val="bottom"/>
            <w:vMerge w:val="restart"/>
          </w:tcPr>
          <w:p>
            <w:pPr>
              <w:jc w:val="center"/>
              <w:spacing w:after="0"/>
              <w:rPr>
                <w:sz w:val="20"/>
                <w:szCs w:val="20"/>
                <w:color w:val="auto"/>
              </w:rPr>
            </w:pPr>
            <w:r>
              <w:rPr>
                <w:rFonts w:ascii="Arial" w:cs="Arial" w:eastAsia="Arial" w:hAnsi="Arial"/>
                <w:sz w:val="17"/>
                <w:szCs w:val="17"/>
                <w:color w:val="auto"/>
              </w:rPr>
              <w:t>Ma702</w:t>
            </w: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rPr>
              <w:t>M702-3</w:t>
            </w:r>
          </w:p>
        </w:tc>
        <w:tc>
          <w:tcPr>
            <w:tcW w:w="740" w:type="dxa"/>
            <w:vAlign w:val="bottom"/>
            <w:vMerge w:val="restart"/>
          </w:tcPr>
          <w:p>
            <w:pPr>
              <w:jc w:val="right"/>
              <w:spacing w:after="0"/>
              <w:rPr>
                <w:sz w:val="20"/>
                <w:szCs w:val="20"/>
                <w:color w:val="auto"/>
              </w:rPr>
            </w:pPr>
            <w:r>
              <w:rPr>
                <w:rFonts w:ascii="Arial" w:cs="Arial" w:eastAsia="Arial" w:hAnsi="Arial"/>
                <w:sz w:val="17"/>
                <w:szCs w:val="17"/>
                <w:color w:val="auto"/>
              </w:rPr>
              <w:t>1818.80</w:t>
            </w:r>
          </w:p>
        </w:tc>
        <w:tc>
          <w:tcPr>
            <w:tcW w:w="1480" w:type="dxa"/>
            <w:vAlign w:val="bottom"/>
            <w:vMerge w:val="restart"/>
          </w:tcPr>
          <w:p>
            <w:pPr>
              <w:jc w:val="center"/>
              <w:spacing w:after="0"/>
              <w:rPr>
                <w:sz w:val="20"/>
                <w:szCs w:val="20"/>
                <w:color w:val="auto"/>
              </w:rPr>
            </w:pPr>
            <w:r>
              <w:rPr>
                <w:rFonts w:ascii="Arial" w:cs="Arial" w:eastAsia="Arial" w:hAnsi="Arial"/>
                <w:sz w:val="17"/>
                <w:szCs w:val="17"/>
                <w:color w:val="auto"/>
              </w:rPr>
              <w:t>Tiaohu Formation</w:t>
            </w:r>
          </w:p>
        </w:tc>
        <w:tc>
          <w:tcPr>
            <w:tcW w:w="660" w:type="dxa"/>
            <w:vAlign w:val="bottom"/>
            <w:vMerge w:val="restart"/>
          </w:tcPr>
          <w:p>
            <w:pPr>
              <w:jc w:val="center"/>
              <w:spacing w:after="0"/>
              <w:rPr>
                <w:sz w:val="20"/>
                <w:szCs w:val="20"/>
                <w:color w:val="auto"/>
              </w:rPr>
            </w:pPr>
            <w:r>
              <w:rPr>
                <w:rFonts w:ascii="Arial" w:cs="Arial" w:eastAsia="Arial" w:hAnsi="Arial"/>
                <w:sz w:val="17"/>
                <w:szCs w:val="17"/>
                <w:color w:val="auto"/>
              </w:rPr>
              <w:t>3.836</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w w:val="95"/>
              </w:rPr>
              <w:t>Tuff</w:t>
            </w:r>
          </w:p>
        </w:tc>
        <w:tc>
          <w:tcPr>
            <w:tcW w:w="780" w:type="dxa"/>
            <w:vAlign w:val="bottom"/>
            <w:vMerge w:val="continue"/>
          </w:tcPr>
          <w:p>
            <w:pPr>
              <w:spacing w:after="0"/>
              <w:rPr>
                <w:sz w:val="8"/>
                <w:szCs w:val="8"/>
                <w:color w:val="auto"/>
              </w:rPr>
            </w:pP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rPr>
              <w:t>9.25</w:t>
            </w:r>
          </w:p>
        </w:tc>
        <w:tc>
          <w:tcPr>
            <w:tcW w:w="1020" w:type="dxa"/>
            <w:vAlign w:val="bottom"/>
            <w:vMerge w:val="restart"/>
          </w:tcPr>
          <w:p>
            <w:pPr>
              <w:jc w:val="center"/>
              <w:spacing w:after="0"/>
              <w:rPr>
                <w:sz w:val="20"/>
                <w:szCs w:val="20"/>
                <w:color w:val="auto"/>
              </w:rPr>
            </w:pPr>
            <w:r>
              <w:rPr>
                <w:rFonts w:ascii="Arial" w:cs="Arial" w:eastAsia="Arial" w:hAnsi="Arial"/>
                <w:sz w:val="17"/>
                <w:szCs w:val="17"/>
                <w:color w:val="auto"/>
              </w:rPr>
              <w:t>13.190 0</w:t>
            </w:r>
          </w:p>
        </w:tc>
        <w:tc>
          <w:tcPr>
            <w:tcW w:w="1620" w:type="dxa"/>
            <w:vAlign w:val="bottom"/>
            <w:vMerge w:val="restart"/>
          </w:tcPr>
          <w:p>
            <w:pPr>
              <w:jc w:val="center"/>
              <w:spacing w:after="0"/>
              <w:rPr>
                <w:sz w:val="20"/>
                <w:szCs w:val="20"/>
                <w:color w:val="auto"/>
              </w:rPr>
            </w:pPr>
            <w:r>
              <w:rPr>
                <w:rFonts w:ascii="Arial" w:cs="Arial" w:eastAsia="Arial" w:hAnsi="Arial"/>
                <w:sz w:val="17"/>
                <w:szCs w:val="17"/>
                <w:color w:val="auto"/>
              </w:rPr>
              <w:t>Penetrating</w:t>
            </w:r>
          </w:p>
        </w:tc>
        <w:tc>
          <w:tcPr>
            <w:tcW w:w="0" w:type="dxa"/>
            <w:vAlign w:val="bottom"/>
          </w:tcPr>
          <w:p>
            <w:pPr>
              <w:spacing w:after="0"/>
              <w:rPr>
                <w:sz w:val="1"/>
                <w:szCs w:val="1"/>
                <w:color w:val="auto"/>
              </w:rPr>
            </w:pPr>
          </w:p>
        </w:tc>
      </w:tr>
      <w:tr>
        <w:trPr>
          <w:trHeight w:val="96"/>
        </w:trPr>
        <w:tc>
          <w:tcPr>
            <w:tcW w:w="840" w:type="dxa"/>
            <w:vAlign w:val="bottom"/>
            <w:vMerge w:val="continue"/>
          </w:tcPr>
          <w:p>
            <w:pPr>
              <w:spacing w:after="0"/>
              <w:rPr>
                <w:sz w:val="8"/>
                <w:szCs w:val="8"/>
                <w:color w:val="auto"/>
              </w:rPr>
            </w:pPr>
          </w:p>
        </w:tc>
        <w:tc>
          <w:tcPr>
            <w:tcW w:w="720" w:type="dxa"/>
            <w:vAlign w:val="bottom"/>
            <w:vMerge w:val="continue"/>
          </w:tcPr>
          <w:p>
            <w:pPr>
              <w:spacing w:after="0"/>
              <w:rPr>
                <w:sz w:val="8"/>
                <w:szCs w:val="8"/>
                <w:color w:val="auto"/>
              </w:rPr>
            </w:pPr>
          </w:p>
        </w:tc>
        <w:tc>
          <w:tcPr>
            <w:tcW w:w="740" w:type="dxa"/>
            <w:vAlign w:val="bottom"/>
            <w:vMerge w:val="continue"/>
          </w:tcPr>
          <w:p>
            <w:pPr>
              <w:spacing w:after="0"/>
              <w:rPr>
                <w:sz w:val="8"/>
                <w:szCs w:val="8"/>
                <w:color w:val="auto"/>
              </w:rPr>
            </w:pPr>
          </w:p>
        </w:tc>
        <w:tc>
          <w:tcPr>
            <w:tcW w:w="148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780" w:type="dxa"/>
            <w:vAlign w:val="bottom"/>
            <w:vMerge w:val="restart"/>
          </w:tcPr>
          <w:p>
            <w:pPr>
              <w:jc w:val="center"/>
              <w:spacing w:after="0"/>
              <w:rPr>
                <w:sz w:val="20"/>
                <w:szCs w:val="20"/>
                <w:color w:val="auto"/>
              </w:rPr>
            </w:pPr>
            <w:r>
              <w:rPr>
                <w:rFonts w:ascii="Arial" w:cs="Arial" w:eastAsia="Arial" w:hAnsi="Arial"/>
                <w:sz w:val="17"/>
                <w:szCs w:val="17"/>
                <w:color w:val="auto"/>
              </w:rPr>
              <w:t>0.02</w:t>
            </w:r>
          </w:p>
        </w:tc>
        <w:tc>
          <w:tcPr>
            <w:tcW w:w="720" w:type="dxa"/>
            <w:vAlign w:val="bottom"/>
            <w:vMerge w:val="continue"/>
          </w:tcPr>
          <w:p>
            <w:pPr>
              <w:spacing w:after="0"/>
              <w:rPr>
                <w:sz w:val="8"/>
                <w:szCs w:val="8"/>
                <w:color w:val="auto"/>
              </w:rPr>
            </w:pPr>
          </w:p>
        </w:tc>
        <w:tc>
          <w:tcPr>
            <w:tcW w:w="1020" w:type="dxa"/>
            <w:vAlign w:val="bottom"/>
            <w:vMerge w:val="continue"/>
          </w:tcPr>
          <w:p>
            <w:pPr>
              <w:spacing w:after="0"/>
              <w:rPr>
                <w:sz w:val="8"/>
                <w:szCs w:val="8"/>
                <w:color w:val="auto"/>
              </w:rPr>
            </w:pPr>
          </w:p>
        </w:tc>
        <w:tc>
          <w:tcPr>
            <w:tcW w:w="16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4"/>
        </w:trPr>
        <w:tc>
          <w:tcPr>
            <w:tcW w:w="84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14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88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1020" w:type="dxa"/>
            <w:vAlign w:val="bottom"/>
            <w:vMerge w:val="continue"/>
          </w:tcPr>
          <w:p>
            <w:pPr>
              <w:spacing w:after="0"/>
              <w:rPr>
                <w:sz w:val="11"/>
                <w:szCs w:val="11"/>
                <w:color w:val="auto"/>
              </w:rPr>
            </w:pPr>
          </w:p>
        </w:tc>
        <w:tc>
          <w:tcPr>
            <w:tcW w:w="1620" w:type="dxa"/>
            <w:vAlign w:val="bottom"/>
            <w:vMerge w:val="restart"/>
          </w:tcPr>
          <w:p>
            <w:pPr>
              <w:jc w:val="center"/>
              <w:spacing w:after="0"/>
              <w:rPr>
                <w:sz w:val="20"/>
                <w:szCs w:val="20"/>
                <w:color w:val="auto"/>
              </w:rPr>
            </w:pPr>
            <w:r>
              <w:rPr>
                <w:rFonts w:ascii="Arial" w:cs="Arial" w:eastAsia="Arial" w:hAnsi="Arial"/>
                <w:sz w:val="17"/>
                <w:szCs w:val="17"/>
                <w:color w:val="auto"/>
              </w:rPr>
              <w:t>fractures developed</w:t>
            </w:r>
          </w:p>
        </w:tc>
        <w:tc>
          <w:tcPr>
            <w:tcW w:w="0" w:type="dxa"/>
            <w:vAlign w:val="bottom"/>
          </w:tcPr>
          <w:p>
            <w:pPr>
              <w:spacing w:after="0"/>
              <w:rPr>
                <w:sz w:val="1"/>
                <w:szCs w:val="1"/>
                <w:color w:val="auto"/>
              </w:rPr>
            </w:pPr>
          </w:p>
        </w:tc>
      </w:tr>
      <w:tr>
        <w:trPr>
          <w:trHeight w:val="61"/>
        </w:trPr>
        <w:tc>
          <w:tcPr>
            <w:tcW w:w="840" w:type="dxa"/>
            <w:vAlign w:val="bottom"/>
          </w:tcPr>
          <w:p>
            <w:pPr>
              <w:spacing w:after="0"/>
              <w:rPr>
                <w:sz w:val="5"/>
                <w:szCs w:val="5"/>
                <w:color w:val="auto"/>
              </w:rPr>
            </w:pPr>
          </w:p>
        </w:tc>
        <w:tc>
          <w:tcPr>
            <w:tcW w:w="720" w:type="dxa"/>
            <w:vAlign w:val="bottom"/>
          </w:tcPr>
          <w:p>
            <w:pPr>
              <w:spacing w:after="0"/>
              <w:rPr>
                <w:sz w:val="5"/>
                <w:szCs w:val="5"/>
                <w:color w:val="auto"/>
              </w:rPr>
            </w:pPr>
          </w:p>
        </w:tc>
        <w:tc>
          <w:tcPr>
            <w:tcW w:w="740" w:type="dxa"/>
            <w:vAlign w:val="bottom"/>
          </w:tcPr>
          <w:p>
            <w:pPr>
              <w:spacing w:after="0"/>
              <w:rPr>
                <w:sz w:val="5"/>
                <w:szCs w:val="5"/>
                <w:color w:val="auto"/>
              </w:rPr>
            </w:pPr>
          </w:p>
        </w:tc>
        <w:tc>
          <w:tcPr>
            <w:tcW w:w="1480" w:type="dxa"/>
            <w:vAlign w:val="bottom"/>
          </w:tcPr>
          <w:p>
            <w:pPr>
              <w:spacing w:after="0"/>
              <w:rPr>
                <w:sz w:val="5"/>
                <w:szCs w:val="5"/>
                <w:color w:val="auto"/>
              </w:rPr>
            </w:pPr>
          </w:p>
        </w:tc>
        <w:tc>
          <w:tcPr>
            <w:tcW w:w="660" w:type="dxa"/>
            <w:vAlign w:val="bottom"/>
          </w:tcPr>
          <w:p>
            <w:pPr>
              <w:spacing w:after="0"/>
              <w:rPr>
                <w:sz w:val="5"/>
                <w:szCs w:val="5"/>
                <w:color w:val="auto"/>
              </w:rPr>
            </w:pPr>
          </w:p>
        </w:tc>
        <w:tc>
          <w:tcPr>
            <w:tcW w:w="880" w:type="dxa"/>
            <w:vAlign w:val="bottom"/>
          </w:tcPr>
          <w:p>
            <w:pPr>
              <w:spacing w:after="0"/>
              <w:rPr>
                <w:sz w:val="5"/>
                <w:szCs w:val="5"/>
                <w:color w:val="auto"/>
              </w:rPr>
            </w:pPr>
          </w:p>
        </w:tc>
        <w:tc>
          <w:tcPr>
            <w:tcW w:w="780" w:type="dxa"/>
            <w:vAlign w:val="bottom"/>
          </w:tcPr>
          <w:p>
            <w:pPr>
              <w:spacing w:after="0"/>
              <w:rPr>
                <w:sz w:val="5"/>
                <w:szCs w:val="5"/>
                <w:color w:val="auto"/>
              </w:rPr>
            </w:pPr>
          </w:p>
        </w:tc>
        <w:tc>
          <w:tcPr>
            <w:tcW w:w="720" w:type="dxa"/>
            <w:vAlign w:val="bottom"/>
          </w:tcPr>
          <w:p>
            <w:pPr>
              <w:spacing w:after="0"/>
              <w:rPr>
                <w:sz w:val="5"/>
                <w:szCs w:val="5"/>
                <w:color w:val="auto"/>
              </w:rPr>
            </w:pPr>
          </w:p>
        </w:tc>
        <w:tc>
          <w:tcPr>
            <w:tcW w:w="1020" w:type="dxa"/>
            <w:vAlign w:val="bottom"/>
          </w:tcPr>
          <w:p>
            <w:pPr>
              <w:spacing w:after="0"/>
              <w:rPr>
                <w:sz w:val="5"/>
                <w:szCs w:val="5"/>
                <w:color w:val="auto"/>
              </w:rPr>
            </w:pPr>
          </w:p>
        </w:tc>
        <w:tc>
          <w:tcPr>
            <w:tcW w:w="16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6"/>
        </w:trPr>
        <w:tc>
          <w:tcPr>
            <w:tcW w:w="840" w:type="dxa"/>
            <w:vAlign w:val="bottom"/>
          </w:tcPr>
          <w:p>
            <w:pPr>
              <w:jc w:val="center"/>
              <w:spacing w:after="0"/>
              <w:rPr>
                <w:sz w:val="20"/>
                <w:szCs w:val="20"/>
                <w:color w:val="auto"/>
              </w:rPr>
            </w:pPr>
            <w:r>
              <w:rPr>
                <w:rFonts w:ascii="Arial" w:cs="Arial" w:eastAsia="Arial" w:hAnsi="Arial"/>
                <w:sz w:val="17"/>
                <w:szCs w:val="17"/>
                <w:color w:val="auto"/>
              </w:rPr>
              <w:t>Tiao25</w:t>
            </w:r>
          </w:p>
        </w:tc>
        <w:tc>
          <w:tcPr>
            <w:tcW w:w="720" w:type="dxa"/>
            <w:vAlign w:val="bottom"/>
          </w:tcPr>
          <w:p>
            <w:pPr>
              <w:jc w:val="center"/>
              <w:spacing w:after="0"/>
              <w:rPr>
                <w:sz w:val="20"/>
                <w:szCs w:val="20"/>
                <w:color w:val="auto"/>
              </w:rPr>
            </w:pPr>
            <w:r>
              <w:rPr>
                <w:rFonts w:ascii="Arial" w:cs="Arial" w:eastAsia="Arial" w:hAnsi="Arial"/>
                <w:sz w:val="17"/>
                <w:szCs w:val="17"/>
                <w:color w:val="auto"/>
              </w:rPr>
              <w:t>T25-1</w:t>
            </w:r>
          </w:p>
        </w:tc>
        <w:tc>
          <w:tcPr>
            <w:tcW w:w="740" w:type="dxa"/>
            <w:vAlign w:val="bottom"/>
          </w:tcPr>
          <w:p>
            <w:pPr>
              <w:jc w:val="right"/>
              <w:spacing w:after="0"/>
              <w:rPr>
                <w:sz w:val="20"/>
                <w:szCs w:val="20"/>
                <w:color w:val="auto"/>
              </w:rPr>
            </w:pPr>
            <w:r>
              <w:rPr>
                <w:rFonts w:ascii="Arial" w:cs="Arial" w:eastAsia="Arial" w:hAnsi="Arial"/>
                <w:sz w:val="17"/>
                <w:szCs w:val="17"/>
                <w:color w:val="auto"/>
              </w:rPr>
              <w:t>1157.48</w:t>
            </w:r>
          </w:p>
        </w:tc>
        <w:tc>
          <w:tcPr>
            <w:tcW w:w="1480" w:type="dxa"/>
            <w:vAlign w:val="bottom"/>
          </w:tcPr>
          <w:p>
            <w:pPr>
              <w:jc w:val="center"/>
              <w:spacing w:after="0"/>
              <w:rPr>
                <w:sz w:val="20"/>
                <w:szCs w:val="20"/>
                <w:color w:val="auto"/>
              </w:rPr>
            </w:pPr>
            <w:r>
              <w:rPr>
                <w:rFonts w:ascii="Arial" w:cs="Arial" w:eastAsia="Arial" w:hAnsi="Arial"/>
                <w:sz w:val="17"/>
                <w:szCs w:val="17"/>
                <w:color w:val="auto"/>
              </w:rPr>
              <w:t>Tiaohu Formation</w:t>
            </w:r>
          </w:p>
        </w:tc>
        <w:tc>
          <w:tcPr>
            <w:tcW w:w="660" w:type="dxa"/>
            <w:vAlign w:val="bottom"/>
          </w:tcPr>
          <w:p>
            <w:pPr>
              <w:jc w:val="center"/>
              <w:spacing w:after="0"/>
              <w:rPr>
                <w:sz w:val="20"/>
                <w:szCs w:val="20"/>
                <w:color w:val="auto"/>
              </w:rPr>
            </w:pPr>
            <w:r>
              <w:rPr>
                <w:rFonts w:ascii="Arial" w:cs="Arial" w:eastAsia="Arial" w:hAnsi="Arial"/>
                <w:sz w:val="17"/>
                <w:szCs w:val="17"/>
                <w:color w:val="auto"/>
              </w:rPr>
              <w:t>2.240</w:t>
            </w:r>
          </w:p>
        </w:tc>
        <w:tc>
          <w:tcPr>
            <w:tcW w:w="880" w:type="dxa"/>
            <w:vAlign w:val="bottom"/>
          </w:tcPr>
          <w:p>
            <w:pPr>
              <w:jc w:val="center"/>
              <w:spacing w:after="0"/>
              <w:rPr>
                <w:sz w:val="20"/>
                <w:szCs w:val="20"/>
                <w:color w:val="auto"/>
              </w:rPr>
            </w:pPr>
            <w:r>
              <w:rPr>
                <w:rFonts w:ascii="Arial" w:cs="Arial" w:eastAsia="Arial" w:hAnsi="Arial"/>
                <w:sz w:val="17"/>
                <w:szCs w:val="17"/>
                <w:color w:val="auto"/>
              </w:rPr>
              <w:t>Basalt</w:t>
            </w:r>
          </w:p>
        </w:tc>
        <w:tc>
          <w:tcPr>
            <w:tcW w:w="780" w:type="dxa"/>
            <w:vAlign w:val="bottom"/>
          </w:tcPr>
          <w:p>
            <w:pPr>
              <w:spacing w:after="0"/>
              <w:rPr>
                <w:sz w:val="17"/>
                <w:szCs w:val="17"/>
                <w:color w:val="auto"/>
              </w:rPr>
            </w:pPr>
          </w:p>
        </w:tc>
        <w:tc>
          <w:tcPr>
            <w:tcW w:w="720" w:type="dxa"/>
            <w:vAlign w:val="bottom"/>
          </w:tcPr>
          <w:p>
            <w:pPr>
              <w:jc w:val="center"/>
              <w:spacing w:after="0"/>
              <w:rPr>
                <w:sz w:val="20"/>
                <w:szCs w:val="20"/>
                <w:color w:val="auto"/>
              </w:rPr>
            </w:pPr>
            <w:r>
              <w:rPr>
                <w:rFonts w:ascii="Arial" w:cs="Arial" w:eastAsia="Arial" w:hAnsi="Arial"/>
                <w:sz w:val="17"/>
                <w:szCs w:val="17"/>
                <w:color w:val="auto"/>
                <w:w w:val="96"/>
              </w:rPr>
              <w:t>9.11</w:t>
            </w:r>
          </w:p>
        </w:tc>
        <w:tc>
          <w:tcPr>
            <w:tcW w:w="1020" w:type="dxa"/>
            <w:vAlign w:val="bottom"/>
          </w:tcPr>
          <w:p>
            <w:pPr>
              <w:jc w:val="center"/>
              <w:spacing w:after="0"/>
              <w:rPr>
                <w:sz w:val="20"/>
                <w:szCs w:val="20"/>
                <w:color w:val="auto"/>
              </w:rPr>
            </w:pPr>
            <w:r>
              <w:rPr>
                <w:rFonts w:ascii="Arial" w:cs="Arial" w:eastAsia="Arial" w:hAnsi="Arial"/>
                <w:sz w:val="17"/>
                <w:szCs w:val="17"/>
                <w:color w:val="auto"/>
                <w:w w:val="98"/>
              </w:rPr>
              <w:t>0.028 5</w:t>
            </w:r>
          </w:p>
        </w:tc>
        <w:tc>
          <w:tcPr>
            <w:tcW w:w="1620" w:type="dxa"/>
            <w:vAlign w:val="bottom"/>
          </w:tcPr>
          <w:p>
            <w:pPr>
              <w:jc w:val="center"/>
              <w:spacing w:after="0"/>
              <w:rPr>
                <w:sz w:val="20"/>
                <w:szCs w:val="20"/>
                <w:color w:val="auto"/>
              </w:rPr>
            </w:pPr>
            <w:r>
              <w:rPr>
                <w:rFonts w:ascii="Arial" w:cs="Arial" w:eastAsia="Arial" w:hAnsi="Arial"/>
                <w:sz w:val="17"/>
                <w:szCs w:val="17"/>
                <w:color w:val="auto"/>
                <w:w w:val="99"/>
              </w:rPr>
              <w:t>Underdeveloped</w:t>
            </w:r>
          </w:p>
        </w:tc>
        <w:tc>
          <w:tcPr>
            <w:tcW w:w="0" w:type="dxa"/>
            <w:vAlign w:val="bottom"/>
          </w:tcPr>
          <w:p>
            <w:pPr>
              <w:spacing w:after="0"/>
              <w:rPr>
                <w:sz w:val="1"/>
                <w:szCs w:val="1"/>
                <w:color w:val="auto"/>
              </w:rPr>
            </w:pPr>
          </w:p>
        </w:tc>
      </w:tr>
      <w:tr>
        <w:trPr>
          <w:trHeight w:val="216"/>
        </w:trPr>
        <w:tc>
          <w:tcPr>
            <w:tcW w:w="840" w:type="dxa"/>
            <w:vAlign w:val="bottom"/>
          </w:tcPr>
          <w:p>
            <w:pPr>
              <w:jc w:val="center"/>
              <w:spacing w:after="0"/>
              <w:rPr>
                <w:sz w:val="20"/>
                <w:szCs w:val="20"/>
                <w:color w:val="auto"/>
              </w:rPr>
            </w:pPr>
            <w:r>
              <w:rPr>
                <w:rFonts w:ascii="Arial" w:cs="Arial" w:eastAsia="Arial" w:hAnsi="Arial"/>
                <w:sz w:val="17"/>
                <w:szCs w:val="17"/>
                <w:color w:val="auto"/>
                <w:w w:val="98"/>
              </w:rPr>
              <w:t>Ma56</w:t>
            </w:r>
          </w:p>
        </w:tc>
        <w:tc>
          <w:tcPr>
            <w:tcW w:w="720" w:type="dxa"/>
            <w:vAlign w:val="bottom"/>
          </w:tcPr>
          <w:p>
            <w:pPr>
              <w:jc w:val="center"/>
              <w:spacing w:after="0"/>
              <w:rPr>
                <w:sz w:val="20"/>
                <w:szCs w:val="20"/>
                <w:color w:val="auto"/>
              </w:rPr>
            </w:pPr>
            <w:r>
              <w:rPr>
                <w:rFonts w:ascii="Arial" w:cs="Arial" w:eastAsia="Arial" w:hAnsi="Arial"/>
                <w:sz w:val="17"/>
                <w:szCs w:val="17"/>
                <w:color w:val="auto"/>
              </w:rPr>
              <w:t>M56-6</w:t>
            </w:r>
          </w:p>
        </w:tc>
        <w:tc>
          <w:tcPr>
            <w:tcW w:w="2880" w:type="dxa"/>
            <w:vAlign w:val="bottom"/>
            <w:gridSpan w:val="3"/>
          </w:tcPr>
          <w:p>
            <w:pPr>
              <w:ind w:left="60"/>
              <w:spacing w:after="0"/>
              <w:rPr>
                <w:sz w:val="20"/>
                <w:szCs w:val="20"/>
                <w:color w:val="auto"/>
              </w:rPr>
            </w:pPr>
            <w:r>
              <w:rPr>
                <w:rFonts w:ascii="Arial" w:cs="Arial" w:eastAsia="Arial" w:hAnsi="Arial"/>
                <w:sz w:val="17"/>
                <w:szCs w:val="17"/>
                <w:color w:val="auto"/>
              </w:rPr>
              <w:t>2668.50 Lucaogou Formation 3.853</w:t>
            </w:r>
          </w:p>
        </w:tc>
        <w:tc>
          <w:tcPr>
            <w:tcW w:w="880" w:type="dxa"/>
            <w:vAlign w:val="bottom"/>
          </w:tcPr>
          <w:p>
            <w:pPr>
              <w:jc w:val="center"/>
              <w:spacing w:after="0"/>
              <w:rPr>
                <w:sz w:val="20"/>
                <w:szCs w:val="20"/>
                <w:color w:val="auto"/>
              </w:rPr>
            </w:pPr>
            <w:r>
              <w:rPr>
                <w:rFonts w:ascii="Arial" w:cs="Arial" w:eastAsia="Arial" w:hAnsi="Arial"/>
                <w:sz w:val="17"/>
                <w:szCs w:val="17"/>
                <w:color w:val="auto"/>
                <w:w w:val="99"/>
              </w:rPr>
              <w:t>Mixed rock</w:t>
            </w:r>
          </w:p>
        </w:tc>
        <w:tc>
          <w:tcPr>
            <w:tcW w:w="780" w:type="dxa"/>
            <w:vAlign w:val="bottom"/>
          </w:tcPr>
          <w:p>
            <w:pPr>
              <w:spacing w:after="0"/>
              <w:rPr>
                <w:sz w:val="18"/>
                <w:szCs w:val="18"/>
                <w:color w:val="auto"/>
              </w:rPr>
            </w:pPr>
          </w:p>
        </w:tc>
        <w:tc>
          <w:tcPr>
            <w:tcW w:w="72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4.54</w:t>
            </w:r>
          </w:p>
        </w:tc>
        <w:tc>
          <w:tcPr>
            <w:tcW w:w="102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0.034 2</w:t>
            </w:r>
          </w:p>
        </w:tc>
        <w:tc>
          <w:tcPr>
            <w:tcW w:w="162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9"/>
              </w:rPr>
              <w:t>Underdeveloped</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-344805</wp:posOffset>
                </wp:positionH>
                <wp:positionV relativeFrom="paragraph">
                  <wp:posOffset>-2505075</wp:posOffset>
                </wp:positionV>
                <wp:extent cx="633603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1499pt,-197.2499pt" to="471.75pt,-197.2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-344805</wp:posOffset>
                </wp:positionH>
                <wp:positionV relativeFrom="paragraph">
                  <wp:posOffset>-760730</wp:posOffset>
                </wp:positionV>
                <wp:extent cx="633603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1499pt,-59.8999pt" to="471.75pt,-59.8999pt" o:allowincell="f" strokecolor="#000000" strokeweight="0.48pt"/>
            </w:pict>
          </mc:Fallback>
        </mc:AlternateContent>
        <w:drawing>
          <wp:anchor simplePos="0" relativeHeight="251657728" behindDoc="1" locked="0" layoutInCell="0" allowOverlap="1">
            <wp:simplePos x="0" y="0"/>
            <wp:positionH relativeFrom="column">
              <wp:posOffset>-344805</wp:posOffset>
            </wp:positionH>
            <wp:positionV relativeFrom="paragraph">
              <wp:posOffset>-13970</wp:posOffset>
            </wp:positionV>
            <wp:extent cx="4215765" cy="171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4215765" cy="17145"/>
                    </a:xfrm>
                    <a:prstGeom prst="rect">
                      <a:avLst/>
                    </a:prstGeom>
                    <a:noFill/>
                  </pic:spPr>
                </pic:pic>
              </a:graphicData>
            </a:graphic>
          </wp:anchor>
        </w:drawing>
      </w:r>
    </w:p>
    <w:p>
      <w:pPr>
        <w:spacing w:after="0" w:line="48" w:lineRule="exact"/>
        <w:rPr>
          <w:sz w:val="20"/>
          <w:szCs w:val="20"/>
          <w:color w:val="auto"/>
        </w:rPr>
      </w:pPr>
    </w:p>
    <w:p>
      <w:pPr>
        <w:jc w:val="center"/>
        <w:ind w:right="540"/>
        <w:spacing w:after="0"/>
        <w:rPr>
          <w:sz w:val="20"/>
          <w:szCs w:val="20"/>
          <w:color w:val="auto"/>
        </w:rPr>
      </w:pPr>
      <w:r>
        <w:rPr>
          <w:rFonts w:ascii="Times New Roman" w:cs="Times New Roman" w:eastAsia="Times New Roman" w:hAnsi="Times New Roman"/>
          <w:sz w:val="18"/>
          <w:szCs w:val="18"/>
          <w:color w:val="auto"/>
        </w:rPr>
        <w:t>549</w:t>
      </w:r>
    </w:p>
    <w:p>
      <w:pPr>
        <w:sectPr>
          <w:pgSz w:w="11900" w:h="16840" w:orient="portrait"/>
          <w:cols w:equalWidth="0" w:num="2">
            <w:col w:w="440" w:space="100"/>
            <w:col w:w="9440"/>
          </w:cols>
          <w:pgMar w:left="960" w:top="1015" w:right="964" w:bottom="411" w:gutter="0" w:footer="0" w:header="0"/>
          <w:type w:val="continuous"/>
        </w:sectPr>
      </w:pPr>
    </w:p>
    <w:bookmarkStart w:id="3" w:name="page4"/>
    <w:bookmarkEnd w:id="3"/>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HU Suyun et al. / Petroleum Exploration and Development, 2023, 50(3): 547–557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180340</wp:posOffset>
            </wp:positionV>
            <wp:extent cx="6327775" cy="2287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6327775" cy="2287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ind w:right="-19"/>
        <w:spacing w:after="0"/>
        <w:tabs>
          <w:tab w:leader="none" w:pos="160" w:val="left"/>
        </w:tabs>
        <w:rPr>
          <w:sz w:val="20"/>
          <w:szCs w:val="20"/>
          <w:color w:val="auto"/>
        </w:rPr>
      </w:pPr>
      <w:r>
        <w:rPr>
          <w:rFonts w:ascii="Arial" w:cs="Arial" w:eastAsia="Arial" w:hAnsi="Arial"/>
          <w:sz w:val="17"/>
          <w:szCs w:val="17"/>
          <w:b w:val="1"/>
          <w:bCs w:val="1"/>
          <w:color w:val="auto"/>
        </w:rPr>
        <w:t>Fig. 1.</w:t>
        <w:tab/>
        <w:t>Effect of charging power on tight oil charging, migration and accumulation (sample number: M56H–4).</w:t>
      </w:r>
    </w:p>
    <w:p>
      <w:pPr>
        <w:sectPr>
          <w:pgSz w:w="11900" w:h="16840" w:orient="portrait"/>
          <w:cols w:equalWidth="0" w:num="1">
            <w:col w:w="9980"/>
          </w:cols>
          <w:pgMar w:left="960" w:top="1015" w:right="964" w:bottom="411" w:gutter="0" w:footer="0" w:header="0"/>
        </w:sectPr>
      </w:pPr>
    </w:p>
    <w:p>
      <w:pPr>
        <w:spacing w:after="0" w:line="345" w:lineRule="exact"/>
        <w:rPr>
          <w:sz w:val="20"/>
          <w:szCs w:val="20"/>
          <w:color w:val="auto"/>
        </w:rPr>
      </w:pPr>
    </w:p>
    <w:p>
      <w:pPr>
        <w:ind w:right="320"/>
        <w:spacing w:after="0" w:line="274" w:lineRule="auto"/>
        <w:rPr>
          <w:sz w:val="20"/>
          <w:szCs w:val="20"/>
          <w:color w:val="auto"/>
        </w:rPr>
      </w:pPr>
      <w:r>
        <w:rPr>
          <w:rFonts w:ascii="Times New Roman" w:cs="Times New Roman" w:eastAsia="Times New Roman" w:hAnsi="Times New Roman"/>
          <w:sz w:val="19"/>
          <w:szCs w:val="19"/>
          <w:b w:val="1"/>
          <w:bCs w:val="1"/>
          <w:color w:val="auto"/>
        </w:rPr>
        <w:t>2.2. Oil migration resistance is a crucial factor affecting the charging efficiency and accumulation effect of tight oil</w:t>
      </w:r>
    </w:p>
    <w:p>
      <w:pPr>
        <w:spacing w:after="0" w:line="152" w:lineRule="exact"/>
        <w:rPr>
          <w:sz w:val="20"/>
          <w:szCs w:val="20"/>
          <w:color w:val="auto"/>
        </w:rPr>
      </w:pPr>
    </w:p>
    <w:p>
      <w:pPr>
        <w:jc w:val="both"/>
        <w:ind w:firstLine="380"/>
        <w:spacing w:after="0" w:line="282" w:lineRule="auto"/>
        <w:rPr>
          <w:sz w:val="20"/>
          <w:szCs w:val="20"/>
          <w:color w:val="auto"/>
        </w:rPr>
      </w:pPr>
      <w:r>
        <w:rPr>
          <w:rFonts w:ascii="Times New Roman" w:cs="Times New Roman" w:eastAsia="Times New Roman" w:hAnsi="Times New Roman"/>
          <w:sz w:val="19"/>
          <w:szCs w:val="19"/>
          <w:color w:val="auto"/>
        </w:rPr>
        <w:t>The tight oil migration resistance occurs in the res-ervoir caused by the capillary pressure of the fine pores and throats in the reservoir. In contrast, the conventional oil migration resistance comes from the cover and the lateral trap block. The pore structure, microfracture de-velopment and oil-water interfacial force control the mi-gration resistance of crude oil in the rock. Taking the siltstone samples collected from the Cretaceous Qing-shankou Formation in the Songliao Basin as a case, as</w:t>
      </w:r>
    </w:p>
    <w:p>
      <w:pPr>
        <w:spacing w:after="0" w:line="20" w:lineRule="exact"/>
        <w:rPr>
          <w:sz w:val="20"/>
          <w:szCs w:val="20"/>
          <w:color w:val="auto"/>
        </w:rPr>
      </w:pPr>
      <w:r>
        <w:rPr>
          <w:sz w:val="20"/>
          <w:szCs w:val="20"/>
          <w:color w:val="auto"/>
        </w:rPr>
        <w:br w:type="column"/>
      </w:r>
    </w:p>
    <w:p>
      <w:pPr>
        <w:spacing w:after="0" w:line="202"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19"/>
          <w:szCs w:val="19"/>
          <w:color w:val="auto"/>
        </w:rPr>
        <w:t>displacement time and pressure increased, the right peak of the NMR spectra of the sample with good pore struc-tures first shifted downward, followed by the left peak (Fig. 2a), and the NMR signal significantly reduced. However, only the NMR signal of the main peak of the latter slightly reduced, indicating that large pores are more prone to be charged. The final charging results show that the reservoir with good physical properties could be filled with oil saturation up to 50% (Fig. 2b). Oil is mainly charged in the pores with relaxation time greater than 1 ms, while water mainly in the pores with relaxation time of less than 10 ms (Fig. 2c). In the tight reservoir with poor pore structures, the NMR curve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-3295650</wp:posOffset>
            </wp:positionH>
            <wp:positionV relativeFrom="paragraph">
              <wp:posOffset>290195</wp:posOffset>
            </wp:positionV>
            <wp:extent cx="6309360" cy="31686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6309360" cy="3168650"/>
                    </a:xfrm>
                    <a:prstGeom prst="rect">
                      <a:avLst/>
                    </a:prstGeom>
                    <a:noFill/>
                  </pic:spPr>
                </pic:pic>
              </a:graphicData>
            </a:graphic>
          </wp:anchor>
        </w:drawing>
      </w:r>
    </w:p>
    <w:p>
      <w:pPr>
        <w:spacing w:after="0" w:line="452"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both"/>
        <w:spacing w:after="0" w:line="249" w:lineRule="auto"/>
        <w:rPr>
          <w:sz w:val="20"/>
          <w:szCs w:val="20"/>
          <w:color w:val="auto"/>
        </w:rPr>
      </w:pPr>
      <w:r>
        <w:rPr>
          <w:rFonts w:ascii="Arial" w:cs="Arial" w:eastAsia="Arial" w:hAnsi="Arial"/>
          <w:sz w:val="17"/>
          <w:szCs w:val="17"/>
          <w:b w:val="1"/>
          <w:bCs w:val="1"/>
          <w:color w:val="auto"/>
        </w:rPr>
        <w:t>Fig. 2. Physical simulation of the effect of pore structure on tight oil charging and accumulation. (a) Nuclear magnetic signal change during the displacement of signaled formation water with non-signaled fluorine oil, sample T234-A; (b) Changes of oil saturation and pressure gradient during charging, sample T234-A; (c) Distribution of initial saturated water, bound water and charged oil (saturated water-bound water) after charging, sample T234-A; (d) Nuclear magnetic signal change during the displacement of signaled formation water with non–signaled fluorine oil, sample L23-B; (e) Changes of oil saturation and pressure gradient during charging, sample L23-B; (f) Distribution characteristics of initial saturated water, bound water and charged oil (saturated water–bound water) after charging, sample L23-B.</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550</w:t>
      </w:r>
    </w:p>
    <w:p>
      <w:pPr>
        <w:sectPr>
          <w:pgSz w:w="11900" w:h="16840" w:orient="portrait"/>
          <w:cols w:equalWidth="0" w:num="1">
            <w:col w:w="9980"/>
          </w:cols>
          <w:pgMar w:left="960" w:top="1015" w:right="964" w:bottom="411" w:gutter="0" w:footer="0" w:header="0"/>
          <w:type w:val="continuous"/>
        </w:sectPr>
      </w:pPr>
    </w:p>
    <w:bookmarkStart w:id="4" w:name="page5"/>
    <w:bookmarkEnd w:id="4"/>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HU Suyun et al. / Petroleum Exploration and Development, 2023, 50(3): 547–557</w:t>
      </w:r>
    </w:p>
    <w:p>
      <w:pPr>
        <w:sectPr>
          <w:pgSz w:w="11900" w:h="16840" w:orient="portrait"/>
          <w:cols w:equalWidth="0" w:num="1">
            <w:col w:w="9980"/>
          </w:cols>
          <w:pgMar w:left="960" w:top="1015" w:right="964" w:bottom="412" w:gutter="0" w:footer="0" w:header="0"/>
        </w:sectPr>
      </w:pPr>
    </w:p>
    <w:p>
      <w:pPr>
        <w:spacing w:after="0" w:line="325"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19"/>
          <w:szCs w:val="19"/>
          <w:color w:val="auto"/>
        </w:rPr>
        <w:t>moves down directly (Fig. 2d), the final oil saturation is only about 20% (Fig. 2e), and oil and water occupy the pores with relaxation time shorter than 10 ms (Fig. 2f). The starting pressure gradient (less than 0.2 MPa/cm) and the pressure gradient (1.5 MPa/cm) at the end of charging of reservoirs with good physical properties and pore structures are lower than the starting pressure gra-dient (1.5 MPa/cm) and the corresponding pressure gra-dient (2.7 MPa/cm) at the end of charging of reservoirs with poor physical properties and pore structures. The above experiments show that the better the physical properties and pore structure of the tight siltstone res-ervoir, the lower the starting pressure gradient and the pressure gradient corresponding to the end of the charge, and the higher the final oil saturation.</w:t>
      </w:r>
    </w:p>
    <w:p>
      <w:pPr>
        <w:spacing w:after="0" w:line="284" w:lineRule="exact"/>
        <w:rPr>
          <w:sz w:val="20"/>
          <w:szCs w:val="20"/>
          <w:color w:val="auto"/>
        </w:rPr>
      </w:pPr>
    </w:p>
    <w:p>
      <w:pPr>
        <w:jc w:val="both"/>
        <w:ind w:firstLine="193"/>
        <w:spacing w:after="0" w:line="279" w:lineRule="auto"/>
        <w:rPr>
          <w:sz w:val="20"/>
          <w:szCs w:val="20"/>
          <w:color w:val="auto"/>
        </w:rPr>
      </w:pPr>
      <w:r>
        <w:rPr>
          <w:rFonts w:ascii="Times New Roman" w:cs="Times New Roman" w:eastAsia="Times New Roman" w:hAnsi="Times New Roman"/>
          <w:sz w:val="19"/>
          <w:szCs w:val="19"/>
          <w:color w:val="auto"/>
        </w:rPr>
        <w:t>The three-dimensional pore space and pore-throat connecting space characterized by micro-CT shows that, compared with the tight reservoir of the Qingshankou Formation in the Songliao Basin, the tight reservoir of the Lucaogou Formation in the Santanghu Basin has more micropores (Fig. 3a, 3d) and more connected micropore space (Fig. 3b, 3e). Lattice Boltzmann numerical simula-tion shows that the seepage channels of the tight reser-voirs of the Qingshankou Formation in the Songliao Ba-sin and the Lucaogou Formation in the Santanghu Basin are very narrow. However, the seepage channels of the tight reservoirs in the Lucaogou Formation are denser. Many seepage channels distribute in clusters, which are well connected, and the final oil saturation of charging is high (Fig. 3c, 3f).</w:t>
      </w:r>
    </w:p>
    <w:p>
      <w:pPr>
        <w:spacing w:after="0" w:line="26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The matrix pore structure determines the difficulty of</w:t>
      </w:r>
    </w:p>
    <w:p>
      <w:pPr>
        <w:spacing w:after="0" w:line="20" w:lineRule="exact"/>
        <w:rPr>
          <w:sz w:val="20"/>
          <w:szCs w:val="20"/>
          <w:color w:val="auto"/>
        </w:rPr>
      </w:pPr>
      <w:r>
        <w:rPr>
          <w:sz w:val="20"/>
          <w:szCs w:val="20"/>
          <w:color w:val="auto"/>
        </w:rPr>
        <w:br w:type="column"/>
      </w:r>
    </w:p>
    <w:p>
      <w:pPr>
        <w:spacing w:after="0" w:line="304"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19"/>
          <w:szCs w:val="19"/>
          <w:color w:val="auto"/>
        </w:rPr>
        <w:t>tight oil charging and accumulation into reservoirs. Mi-cro-fractures provide advantageous migration channels and affect the charging and accumulation process and results of tight oil. Taking the tuff from the Santanghu Basin as an example, the results of NMR-DP physical simulation show similar tight oil charging characteristics between sample M56-3 with developing fractures (frac-tures not penetrating) perpendicular to the charging di-rection and tuff sample M56H-4 without fractures, but apparently different from the tight oil charging charac-teristics of sample M702-3 with penetrating fractures. The NMR signal of the sample with impenetrable frac-tures gradually decreased with the increase of displace-ment time and pressure, indicating formation water was displaced. However, the sample with penetrating frac-tures only has apparent changes in the NMR signal of the right peak, but the NMR signals of the left peak and the center peak did not change, indicating that the pene-trating fractures as high-speed channels make it difficult for oil to enter more pores. The results show that with the gradual increases of displacement time and pressure, the oil saturation of M56-3 and M56H-4 gradually increased and could reach above 60%. The comparison of the oil saturations of the two samples shows that the perme-ability is the main controlling factor of oil saturation. Although the porosity of the two samples is different, their permeability is close (0.184 5×10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and 0.141 0× 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respectively), so the final oil saturation is close. M702-3 sample develops fractures perpendicular to the bedding direction, so the permeability is as high as 13.19×10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and the final oil saturation is only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-3311525</wp:posOffset>
            </wp:positionH>
            <wp:positionV relativeFrom="paragraph">
              <wp:posOffset>358140</wp:posOffset>
            </wp:positionV>
            <wp:extent cx="6351905" cy="32219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6351905" cy="3221990"/>
                    </a:xfrm>
                    <a:prstGeom prst="rect">
                      <a:avLst/>
                    </a:prstGeom>
                    <a:noFill/>
                  </pic:spPr>
                </pic:pic>
              </a:graphicData>
            </a:graphic>
          </wp:anchor>
        </w:drawing>
      </w:r>
    </w:p>
    <w:p>
      <w:pPr>
        <w:spacing w:after="0" w:line="646" w:lineRule="exact"/>
        <w:rPr>
          <w:sz w:val="20"/>
          <w:szCs w:val="20"/>
          <w:color w:val="auto"/>
        </w:rPr>
      </w:pPr>
    </w:p>
    <w:p>
      <w:pPr>
        <w:sectPr>
          <w:pgSz w:w="11900" w:h="16840" w:orient="portrait"/>
          <w:cols w:equalWidth="0" w:num="2">
            <w:col w:w="4760" w:space="460"/>
            <w:col w:w="4760"/>
          </w:cols>
          <w:pgMar w:left="960" w:top="1015" w:right="964" w:bottom="41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spacing w:after="0" w:line="254" w:lineRule="auto"/>
        <w:rPr>
          <w:sz w:val="20"/>
          <w:szCs w:val="20"/>
          <w:color w:val="auto"/>
        </w:rPr>
      </w:pPr>
      <w:r>
        <w:rPr>
          <w:rFonts w:ascii="Arial" w:cs="Arial" w:eastAsia="Arial" w:hAnsi="Arial"/>
          <w:sz w:val="17"/>
          <w:szCs w:val="17"/>
          <w:b w:val="1"/>
          <w:bCs w:val="1"/>
          <w:color w:val="auto"/>
        </w:rPr>
        <w:t>Fig. 3. Influence of pore structure on tight oil charging and accumulation by Lattice Boltzmann physical simulation. (a) Three-dimensional pore characterization by micro-CT, sample T234-A; (b) Three-dimensional pore-throat connection, sam-ple T234-A; (c) Simulated charging process of tight oil, sample T234-A; (d) Three-dimensional pore characterization by mi-cro-CT, sample M56-6; (e) Three-dimensional pore-throat connection, sample M56–6; (f) Simulated charging process of tight reservoir oil, sample M56-6.</w:t>
      </w:r>
    </w:p>
    <w:p>
      <w:pPr>
        <w:jc w:val="center"/>
        <w:spacing w:after="0" w:line="229" w:lineRule="auto"/>
        <w:rPr>
          <w:sz w:val="20"/>
          <w:szCs w:val="20"/>
          <w:color w:val="auto"/>
        </w:rPr>
      </w:pPr>
      <w:r>
        <w:rPr>
          <w:rFonts w:ascii="Times New Roman" w:cs="Times New Roman" w:eastAsia="Times New Roman" w:hAnsi="Times New Roman"/>
          <w:sz w:val="18"/>
          <w:szCs w:val="18"/>
          <w:color w:val="auto"/>
        </w:rPr>
        <w:t>551</w:t>
      </w:r>
    </w:p>
    <w:p>
      <w:pPr>
        <w:sectPr>
          <w:pgSz w:w="11900" w:h="16840" w:orient="portrait"/>
          <w:cols w:equalWidth="0" w:num="1">
            <w:col w:w="9980"/>
          </w:cols>
          <w:pgMar w:left="960" w:top="1015" w:right="964" w:bottom="412" w:gutter="0" w:footer="0" w:header="0"/>
          <w:type w:val="continuous"/>
        </w:sectPr>
      </w:pPr>
    </w:p>
    <w:bookmarkStart w:id="5" w:name="page6"/>
    <w:bookmarkEnd w:id="5"/>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HU Suyun et al. / Petroleum Exploration and Development, 2023, 50(3): 547–557</w:t>
      </w:r>
    </w:p>
    <w:p>
      <w:pPr>
        <w:sectPr>
          <w:pgSz w:w="11900" w:h="16840" w:orient="portrait"/>
          <w:cols w:equalWidth="0" w:num="1">
            <w:col w:w="9980"/>
          </w:cols>
          <w:pgMar w:left="960" w:top="1015" w:right="964" w:bottom="411" w:gutter="0" w:footer="0" w:header="0"/>
        </w:sectPr>
      </w:pPr>
    </w:p>
    <w:p>
      <w:pPr>
        <w:spacing w:after="0" w:line="328"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19"/>
          <w:szCs w:val="19"/>
          <w:color w:val="auto"/>
        </w:rPr>
        <w:t>about 20% due to the development of penetrating frac-tures parallel to the direction of charging power. Com-pared with the tight reservoir of the Qingshankou For-mation in the Songliao Basin, the starting pressure gra-dient of the three samples is very low, not exceeding 0.25 MPa/cm. However, the pressure gradient is different when the charging is completed, among which the final pressure gradient of sample M56-3 is about 2.0 MPa/cm, and that of M56H-4 is about 3.5 MPa/cm, indicating that the lower the permeability, the higher the charging re-sistance (Fig. 4). The Lattice Boltzmann numerical simu-lation results also show that the final oil saturation of the sample with fractures perpendicular to the charging di-rection, smaller in opening and shorter is similar to the final oil-gas saturation of reservoir without fractures by numerical simulation results. This is consistent with the physical simulation results of samples M56-3 and M56H-4. The final oil saturation of the sample with fractures parallel to the oil charging direction, opening larger and longer is low, which is consistent with the physical simulation result of sample M702-3.</w:t>
      </w:r>
    </w:p>
    <w:p>
      <w:pPr>
        <w:spacing w:after="0" w:line="288" w:lineRule="exact"/>
        <w:rPr>
          <w:sz w:val="20"/>
          <w:szCs w:val="20"/>
          <w:color w:val="auto"/>
        </w:rPr>
      </w:pPr>
    </w:p>
    <w:p>
      <w:pPr>
        <w:jc w:val="both"/>
        <w:ind w:firstLine="193"/>
        <w:spacing w:after="0" w:line="269" w:lineRule="auto"/>
        <w:rPr>
          <w:sz w:val="20"/>
          <w:szCs w:val="20"/>
          <w:color w:val="auto"/>
        </w:rPr>
      </w:pPr>
      <w:r>
        <w:rPr>
          <w:rFonts w:ascii="Times New Roman" w:cs="Times New Roman" w:eastAsia="Times New Roman" w:hAnsi="Times New Roman"/>
          <w:sz w:val="19"/>
          <w:szCs w:val="19"/>
          <w:color w:val="auto"/>
        </w:rPr>
        <w:t>The oil-rock interfacial force also affects the charging process of tight oil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[25]</w:t>
      </w:r>
      <w:r>
        <w:rPr>
          <w:rFonts w:ascii="Times New Roman" w:cs="Times New Roman" w:eastAsia="Times New Roman" w:hAnsi="Times New Roman"/>
          <w:sz w:val="19"/>
          <w:szCs w:val="19"/>
          <w:color w:val="auto"/>
        </w:rPr>
        <w:t>. The Lattice Boltzmann numerical simulation results show that the more oleophilic the res-ervoir, the closer the oil charging distance is at the same time, and the higher the final oil saturation; the higher</w:t>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oil viscosity, the lower the final oil saturation.</w:t>
      </w:r>
    </w:p>
    <w:p>
      <w:pPr>
        <w:spacing w:after="0" w:line="180" w:lineRule="exact"/>
        <w:rPr>
          <w:sz w:val="20"/>
          <w:szCs w:val="20"/>
          <w:color w:val="auto"/>
        </w:rPr>
      </w:pPr>
    </w:p>
    <w:p>
      <w:pPr>
        <w:jc w:val="both"/>
        <w:spacing w:after="0" w:line="275" w:lineRule="auto"/>
        <w:tabs>
          <w:tab w:leader="none" w:pos="155" w:val="left"/>
        </w:tabs>
        <w:numPr>
          <w:ilvl w:val="0"/>
          <w:numId w:val="5"/>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b w:val="1"/>
          <w:bCs w:val="1"/>
          <w:color w:val="auto"/>
        </w:rPr>
        <w:t>3. The coupling effect of charging force and pore throat resistance of tight reservoir controls tight oil accumulation and sweet spot enrichment</w:t>
      </w:r>
    </w:p>
    <w:p>
      <w:pPr>
        <w:spacing w:after="0" w:line="149" w:lineRule="exact"/>
        <w:rPr>
          <w:sz w:val="20"/>
          <w:szCs w:val="20"/>
          <w:color w:val="auto"/>
        </w:rPr>
      </w:pPr>
    </w:p>
    <w:p>
      <w:pPr>
        <w:jc w:val="both"/>
        <w:ind w:firstLine="193"/>
        <w:spacing w:after="0" w:line="284" w:lineRule="auto"/>
        <w:rPr>
          <w:sz w:val="20"/>
          <w:szCs w:val="20"/>
          <w:color w:val="auto"/>
        </w:rPr>
      </w:pPr>
      <w:r>
        <w:rPr>
          <w:rFonts w:ascii="Times New Roman" w:cs="Times New Roman" w:eastAsia="Times New Roman" w:hAnsi="Times New Roman"/>
          <w:sz w:val="19"/>
          <w:szCs w:val="19"/>
          <w:color w:val="auto"/>
        </w:rPr>
        <w:t>The physical and numerical simulation results show that under the condition of good oil sources, that is, strong oil generation and charging power of source rock, physical properties of the reservoir control the final oil saturation However, the oil saturation varies with reser-voir porosity and permeability differently (Fig. 5). The relationship between porosity and oil saturation is in three-section distribution. In the first section, the poros-ity is less than 7%, and the oil saturation slowly increases to about 10% with the porosity. In the second section, when the porosity is 7%–16%, the oil saturation increases sharply to about 65% with the increase of porosity. In the third section, the porosity is greater than 16%, and the oil saturation no longer changes with the increase of porosity and remains at about 65% (Fig. 5a).</w:t>
      </w:r>
    </w:p>
    <w:p>
      <w:pPr>
        <w:spacing w:after="0" w:line="280" w:lineRule="exact"/>
        <w:rPr>
          <w:sz w:val="20"/>
          <w:szCs w:val="20"/>
          <w:color w:val="auto"/>
        </w:rPr>
      </w:pPr>
    </w:p>
    <w:p>
      <w:pPr>
        <w:jc w:val="both"/>
        <w:ind w:firstLine="193"/>
        <w:spacing w:after="0" w:line="273" w:lineRule="auto"/>
        <w:rPr>
          <w:sz w:val="20"/>
          <w:szCs w:val="20"/>
          <w:color w:val="auto"/>
        </w:rPr>
      </w:pPr>
      <w:r>
        <w:rPr>
          <w:rFonts w:ascii="Times New Roman" w:cs="Times New Roman" w:eastAsia="Times New Roman" w:hAnsi="Times New Roman"/>
          <w:sz w:val="19"/>
          <w:szCs w:val="19"/>
          <w:color w:val="auto"/>
        </w:rPr>
        <w:t>The relationship between permeability and oil saturation is in two-section distribution. In the first section, when the permeability is less than 0.2×10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the oil satura-tion increases sharply with the increase of permeability, indicating that permeability is the main controlling fac-tor on oil saturation in tight reservoirs. In the second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-3311525</wp:posOffset>
            </wp:positionH>
            <wp:positionV relativeFrom="paragraph">
              <wp:posOffset>158115</wp:posOffset>
            </wp:positionV>
            <wp:extent cx="6339840" cy="32613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6339840" cy="3261360"/>
                    </a:xfrm>
                    <a:prstGeom prst="rect">
                      <a:avLst/>
                    </a:prstGeom>
                    <a:noFill/>
                  </pic:spPr>
                </pic:pic>
              </a:graphicData>
            </a:graphic>
          </wp:anchor>
        </w:drawing>
      </w:r>
    </w:p>
    <w:p>
      <w:pPr>
        <w:spacing w:after="0" w:line="213"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both"/>
        <w:spacing w:after="0" w:line="247" w:lineRule="auto"/>
        <w:rPr>
          <w:sz w:val="20"/>
          <w:szCs w:val="20"/>
          <w:color w:val="auto"/>
        </w:rPr>
      </w:pPr>
      <w:r>
        <w:rPr>
          <w:rFonts w:ascii="Arial" w:cs="Arial" w:eastAsia="Arial" w:hAnsi="Arial"/>
          <w:sz w:val="17"/>
          <w:szCs w:val="17"/>
          <w:b w:val="1"/>
          <w:bCs w:val="1"/>
          <w:color w:val="auto"/>
        </w:rPr>
        <w:t>Fig. 4. Effect of micro-fractures on tight oil charging and accumulation by physical simulation on tuff samples of Tiaohu Formation in the Santanghu Basin. (a) Nuclear magnetic signal change during the displacement of signaled formation water with non-signaled fluorine oil, sample M56-3, microfractures perpendicular to the direction of charge; (b) Nuclear magnetic signal change during the displacement of signaled formation water with non-signaled fluorine oil, sample M56H-4, without microfractures; (c) Nuclear magnetic signal change during the displacement of signaled formation water with non-signaled fluorine oil, sample M702-3, microfractures parallel to the direction of charge; (d) Changes of oil saturation and pressure gradient during charging of fluorine oil, sample M56-3 ; (e) Changes in oil saturation and pressure gradient during charging of fluorine oil, sample M56H-4; (f) Changes in oil saturation and pressure gradient during charging of fluorine oil, sample M702-3.</w:t>
      </w:r>
    </w:p>
    <w:p>
      <w:pPr>
        <w:spacing w:after="0" w:line="1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552</w:t>
      </w:r>
    </w:p>
    <w:p>
      <w:pPr>
        <w:sectPr>
          <w:pgSz w:w="11900" w:h="16840" w:orient="portrait"/>
          <w:cols w:equalWidth="0" w:num="1">
            <w:col w:w="9980"/>
          </w:cols>
          <w:pgMar w:left="960" w:top="1015" w:right="964" w:bottom="411" w:gutter="0" w:footer="0" w:header="0"/>
          <w:type w:val="continuous"/>
        </w:sectPr>
      </w:pPr>
    </w:p>
    <w:bookmarkStart w:id="6" w:name="page7"/>
    <w:bookmarkEnd w:id="6"/>
    <w:p>
      <w:pPr>
        <w:jc w:val="center"/>
        <w:ind w:right="-159"/>
        <w:spacing w:after="0"/>
        <w:rPr>
          <w:sz w:val="20"/>
          <w:szCs w:val="20"/>
          <w:color w:val="auto"/>
        </w:rPr>
      </w:pPr>
      <w:r>
        <w:rPr>
          <w:rFonts w:ascii="Times New Roman" w:cs="Times New Roman" w:eastAsia="Times New Roman" w:hAnsi="Times New Roman"/>
          <w:sz w:val="16"/>
          <w:szCs w:val="16"/>
          <w:i w:val="1"/>
          <w:iCs w:val="1"/>
          <w:color w:val="auto"/>
        </w:rPr>
        <w:t>HU Suyun et al. / Petroleum Exploration and Development, 2023, 50(3): 547–557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180975</wp:posOffset>
            </wp:positionV>
            <wp:extent cx="6333490" cy="18884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6333490" cy="1888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ind w:right="40"/>
        <w:spacing w:after="0"/>
        <w:tabs>
          <w:tab w:leader="none" w:pos="140" w:val="left"/>
        </w:tabs>
        <w:rPr>
          <w:sz w:val="20"/>
          <w:szCs w:val="20"/>
          <w:color w:val="auto"/>
        </w:rPr>
      </w:pPr>
      <w:r>
        <w:rPr>
          <w:rFonts w:ascii="Arial" w:cs="Arial" w:eastAsia="Arial" w:hAnsi="Arial"/>
          <w:sz w:val="17"/>
          <w:szCs w:val="17"/>
          <w:b w:val="1"/>
          <w:bCs w:val="1"/>
          <w:color w:val="auto"/>
        </w:rPr>
        <w:t>Fig. 5.</w:t>
        <w:tab/>
        <w:t>Effect of reservoir physical properties on oil saturation.</w:t>
      </w:r>
    </w:p>
    <w:p>
      <w:pPr>
        <w:sectPr>
          <w:pgSz w:w="11900" w:h="16840" w:orient="portrait"/>
          <w:cols w:equalWidth="0" w:num="1">
            <w:col w:w="10020"/>
          </w:cols>
          <w:pgMar w:left="960" w:top="1015" w:right="924" w:bottom="411" w:gutter="0" w:footer="0" w:header="0"/>
        </w:sectPr>
      </w:pPr>
    </w:p>
    <w:p>
      <w:pPr>
        <w:spacing w:after="0" w:line="220"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19"/>
          <w:szCs w:val="19"/>
          <w:color w:val="auto"/>
        </w:rPr>
        <w:t>section, when the permeability is above 0.2×10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the oil saturation no longer changes with the increase of permeability, indicating that permeability is no longer a controlling factor (Fig. 5b). Therefore, in the tight oil area with good oil sources, the tight oil sweet spot zone is the sweet spot zone of reservoir physical properties. The boundary is vaguer than conventional oil reservoirs. The reservoir interval corresponding to porosity above 16% and permeability above 0.2×10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is a high-quality sweet spot interval, which means the lowest permeability limit of the high-quality sweet spot interval is 0.2×10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The reservoir interval corresponding to porosity of 7%–16% and permeability less than 0.2×10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is a secondary sweet spot, and the reservoir corresponding to porosity less than 7% and permeability less than 0.2×10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is a prospective interval. In the tight oil area with insufficient oil source, the tight oil saturation is con-trolled not only by the reservoir physical properties but also by the oil source conditions. High-quality reservoirs adjacent to source rocks are the primary targets for sweet spot zones. The distance from the source rock is the first screening criterion, and reservoir quality is the second screening criterion. In addition, in the tight oil areas with extensive fault development, the high-quality reservoirs adjacent to faults are tight oil sweet spot zones.</w:t>
      </w:r>
    </w:p>
    <w:p>
      <w:pPr>
        <w:spacing w:after="0" w:line="35" w:lineRule="exact"/>
        <w:rPr>
          <w:sz w:val="20"/>
          <w:szCs w:val="20"/>
          <w:color w:val="auto"/>
        </w:rPr>
      </w:pPr>
    </w:p>
    <w:p>
      <w:pPr>
        <w:jc w:val="both"/>
        <w:ind w:firstLine="193"/>
        <w:spacing w:after="0" w:line="277" w:lineRule="auto"/>
        <w:rPr>
          <w:sz w:val="20"/>
          <w:szCs w:val="20"/>
          <w:color w:val="auto"/>
        </w:rPr>
      </w:pPr>
      <w:r>
        <w:rPr>
          <w:rFonts w:ascii="Times New Roman" w:cs="Times New Roman" w:eastAsia="Times New Roman" w:hAnsi="Times New Roman"/>
          <w:sz w:val="19"/>
          <w:szCs w:val="19"/>
          <w:color w:val="auto"/>
        </w:rPr>
        <w:t>Through the forgoing analysis, the coupling effect of charging power and resistance control tight oil charging, migration, and accumulation. The pore structure, mi-crofractures and oil-water interfacial force of the reser-voir determine tight oil charging and accumulation. Oil source supply, reservoir physical properties and structure control the change of oil saturation. The charging dy-namics mechanism, tight oil migration and accumulation efficiency, that is, oil saturation and enrichment, are controlled by three mechanical and medium conditions: the coupling effect of charging force and resistance (charging force depends on the quality of source rock, the amount of hydrocarbon generated and the pressure in-duced by hydrocarbon expulsion), effective migration system (fault and fracture development determines the seepage mechanism and flow rate of Darcy or non-Darcy flow), and good oil storage and accumulation space (po-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jc w:val="both"/>
        <w:ind w:right="40"/>
        <w:spacing w:after="0" w:line="276" w:lineRule="auto"/>
        <w:rPr>
          <w:sz w:val="20"/>
          <w:szCs w:val="20"/>
          <w:color w:val="auto"/>
        </w:rPr>
      </w:pPr>
      <w:r>
        <w:rPr>
          <w:rFonts w:ascii="Times New Roman" w:cs="Times New Roman" w:eastAsia="Times New Roman" w:hAnsi="Times New Roman"/>
          <w:sz w:val="19"/>
          <w:szCs w:val="19"/>
          <w:color w:val="auto"/>
        </w:rPr>
        <w:t>rosity and permeability determine charging resistance, reservoir space, oil accumulation efficiency and oil vol-ume). The analysis of tight oil charging and migration and accumulation mechanisms shows that charging power, reservoir physical properties, structural hetero-geneity and fractures control the charging efficiency and accumulation of tight oil (oil saturation). Furthermore, the oil saturation and enrichment of tight oil in conti-nental lake basins are controlled by four factors: hydro-carbon source, reservoir pores, anisotropy, and fractures.</w:t>
      </w:r>
    </w:p>
    <w:p>
      <w:pPr>
        <w:spacing w:after="0" w:line="123" w:lineRule="exact"/>
        <w:rPr>
          <w:sz w:val="20"/>
          <w:szCs w:val="20"/>
          <w:color w:val="auto"/>
        </w:rPr>
      </w:pPr>
    </w:p>
    <w:p>
      <w:pPr>
        <w:ind w:right="40"/>
        <w:spacing w:after="0" w:line="228" w:lineRule="auto"/>
        <w:tabs>
          <w:tab w:leader="none" w:pos="397" w:val="left"/>
        </w:tabs>
        <w:numPr>
          <w:ilvl w:val="0"/>
          <w:numId w:val="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Controlling factors on tight oil enrichment in continental lake basins</w:t>
      </w:r>
    </w:p>
    <w:p>
      <w:pPr>
        <w:spacing w:after="0" w:line="173" w:lineRule="exact"/>
        <w:rPr>
          <w:sz w:val="20"/>
          <w:szCs w:val="20"/>
          <w:color w:val="auto"/>
        </w:rPr>
      </w:pPr>
    </w:p>
    <w:p>
      <w:pPr>
        <w:jc w:val="both"/>
        <w:ind w:firstLine="193"/>
        <w:spacing w:after="0" w:line="278" w:lineRule="auto"/>
        <w:rPr>
          <w:sz w:val="20"/>
          <w:szCs w:val="20"/>
          <w:color w:val="auto"/>
        </w:rPr>
      </w:pPr>
      <w:r>
        <w:rPr>
          <w:rFonts w:ascii="Times New Roman" w:cs="Times New Roman" w:eastAsia="Times New Roman" w:hAnsi="Times New Roman"/>
          <w:sz w:val="19"/>
          <w:szCs w:val="19"/>
          <w:color w:val="auto"/>
        </w:rPr>
        <w:t>The previous section about tight oil charging, migra-tion, and accumulation mechanisms shows that charging force, migration resistance, and the coupling effect of the two control tight oil charging efficiency and migration and accumulation effects (oil saturation). The charging force depends on the quality of source rock. Migration resistance depends on the physical properties of reservoir, especially the sizes of pores and throats and their con-nectivity (permeability). The coupling relationship be-tween the two depends on the source-reservoir configu-ration, internal structure and heterogeneity, fractures, and other factors.</w:t>
      </w:r>
    </w:p>
    <w:p>
      <w:pPr>
        <w:spacing w:after="0" w:line="395" w:lineRule="exact"/>
        <w:rPr>
          <w:sz w:val="20"/>
          <w:szCs w:val="20"/>
          <w:color w:val="auto"/>
        </w:rPr>
      </w:pPr>
    </w:p>
    <w:p>
      <w:pPr>
        <w:ind w:right="1080"/>
        <w:spacing w:after="0" w:line="258" w:lineRule="auto"/>
        <w:rPr>
          <w:sz w:val="20"/>
          <w:szCs w:val="20"/>
          <w:color w:val="auto"/>
        </w:rPr>
      </w:pPr>
      <w:r>
        <w:rPr>
          <w:rFonts w:ascii="Times New Roman" w:cs="Times New Roman" w:eastAsia="Times New Roman" w:hAnsi="Times New Roman"/>
          <w:sz w:val="19"/>
          <w:szCs w:val="19"/>
          <w:b w:val="1"/>
          <w:bCs w:val="1"/>
          <w:color w:val="auto"/>
        </w:rPr>
        <w:t>3.1. High-quality source rocks control the near-source distribution of tight oil</w:t>
      </w:r>
    </w:p>
    <w:p>
      <w:pPr>
        <w:spacing w:after="0" w:line="161" w:lineRule="exact"/>
        <w:rPr>
          <w:sz w:val="20"/>
          <w:szCs w:val="20"/>
          <w:color w:val="auto"/>
        </w:rPr>
      </w:pPr>
    </w:p>
    <w:p>
      <w:pPr>
        <w:jc w:val="both"/>
        <w:ind w:right="40" w:firstLine="193"/>
        <w:spacing w:after="0" w:line="275" w:lineRule="auto"/>
        <w:rPr>
          <w:sz w:val="20"/>
          <w:szCs w:val="20"/>
          <w:color w:val="auto"/>
        </w:rPr>
      </w:pPr>
      <w:r>
        <w:rPr>
          <w:rFonts w:ascii="Times New Roman" w:cs="Times New Roman" w:eastAsia="Times New Roman" w:hAnsi="Times New Roman"/>
          <w:sz w:val="19"/>
          <w:szCs w:val="19"/>
          <w:color w:val="auto"/>
        </w:rPr>
        <w:t>The migration and seepage mechanism and power source of tight oil determine the characteristics of near-source accumulation and apparent “source control”. According to tight oil distribution and the location of source rock, the area of high-quality hydrocarbon source controls the distribution of tight oil. Fig. 6 shows the superimposed map of total hydrocarbon generation strength and tight oil wells from the Jurassic source rocks in the Sichuan Basin. Most of the tight oil wells fall within the range of hydrocarbon generation intensity higher than 40×10</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t/km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Only a few wells are in the area below this hydrocarbon generation intensity.</w:t>
      </w:r>
    </w:p>
    <w:p>
      <w:pPr>
        <w:spacing w:after="0" w:line="276" w:lineRule="exact"/>
        <w:rPr>
          <w:sz w:val="20"/>
          <w:szCs w:val="20"/>
          <w:color w:val="auto"/>
        </w:rPr>
      </w:pPr>
    </w:p>
    <w:p>
      <w:pPr>
        <w:jc w:val="both"/>
        <w:ind w:right="40" w:firstLine="193"/>
        <w:spacing w:after="0" w:line="256" w:lineRule="auto"/>
        <w:rPr>
          <w:sz w:val="20"/>
          <w:szCs w:val="20"/>
          <w:color w:val="auto"/>
        </w:rPr>
      </w:pPr>
      <w:r>
        <w:rPr>
          <w:rFonts w:ascii="Times New Roman" w:cs="Times New Roman" w:eastAsia="Times New Roman" w:hAnsi="Times New Roman"/>
          <w:sz w:val="19"/>
          <w:szCs w:val="19"/>
          <w:color w:val="auto"/>
        </w:rPr>
        <w:t>The source control law of tight oil distribution and en-richment also shows vertical near-source distribution,</w:t>
      </w:r>
    </w:p>
    <w:p>
      <w:pPr>
        <w:spacing w:after="0" w:line="57" w:lineRule="exact"/>
        <w:rPr>
          <w:sz w:val="20"/>
          <w:szCs w:val="20"/>
          <w:color w:val="auto"/>
        </w:rPr>
      </w:pPr>
    </w:p>
    <w:p>
      <w:pPr>
        <w:sectPr>
          <w:pgSz w:w="11900" w:h="16840" w:orient="portrait"/>
          <w:cols w:equalWidth="0" w:num="2">
            <w:col w:w="4760" w:space="460"/>
            <w:col w:w="4800"/>
          </w:cols>
          <w:pgMar w:left="960" w:top="1015" w:right="924" w:bottom="411"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8"/>
          <w:szCs w:val="18"/>
          <w:color w:val="auto"/>
        </w:rPr>
        <w:t>553</w:t>
      </w:r>
    </w:p>
    <w:p>
      <w:pPr>
        <w:sectPr>
          <w:pgSz w:w="11900" w:h="16840" w:orient="portrait"/>
          <w:cols w:equalWidth="0" w:num="1">
            <w:col w:w="10020"/>
          </w:cols>
          <w:pgMar w:left="960" w:top="1015" w:right="924" w:bottom="411" w:gutter="0" w:footer="0" w:header="0"/>
          <w:type w:val="continuous"/>
        </w:sectPr>
      </w:pPr>
    </w:p>
    <w:bookmarkStart w:id="7" w:name="page8"/>
    <w:bookmarkEnd w:id="7"/>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HU Suyun et al. / Petroleum Exploration and Development, 2023, 50(3): 547–557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180975</wp:posOffset>
            </wp:positionV>
            <wp:extent cx="3035935" cy="25819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extLst>
                    </a:blip>
                    <a:srcRect/>
                    <a:stretch>
                      <a:fillRect/>
                    </a:stretch>
                  </pic:blipFill>
                  <pic:spPr bwMode="auto">
                    <a:xfrm>
                      <a:off x="0" y="0"/>
                      <a:ext cx="3035935" cy="2581910"/>
                    </a:xfrm>
                    <a:prstGeom prst="rect">
                      <a:avLst/>
                    </a:prstGeom>
                    <a:noFill/>
                  </pic:spPr>
                </pic:pic>
              </a:graphicData>
            </a:graphic>
          </wp:anchor>
        </w:drawing>
      </w:r>
    </w:p>
    <w:p>
      <w:pPr>
        <w:sectPr>
          <w:pgSz w:w="11900" w:h="16840" w:orient="portrait"/>
          <w:cols w:equalWidth="0" w:num="1">
            <w:col w:w="9980"/>
          </w:cols>
          <w:pgMar w:left="960" w:top="1015" w:right="964" w:bottom="4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right="40"/>
        <w:spacing w:after="0" w:line="268" w:lineRule="auto"/>
        <w:rPr>
          <w:sz w:val="20"/>
          <w:szCs w:val="20"/>
          <w:color w:val="auto"/>
        </w:rPr>
      </w:pPr>
      <w:r>
        <w:rPr>
          <w:rFonts w:ascii="Arial" w:cs="Arial" w:eastAsia="Arial" w:hAnsi="Arial"/>
          <w:sz w:val="17"/>
          <w:szCs w:val="17"/>
          <w:b w:val="1"/>
          <w:bCs w:val="1"/>
          <w:color w:val="auto"/>
        </w:rPr>
        <w:t>Fig. 6. Hydrocarbon generation intensity and distribution of oil wells sourced from Jurassic source rocks in the Si-chuan Basin.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46990</wp:posOffset>
            </wp:positionV>
            <wp:extent cx="3023870" cy="18408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3023870" cy="1840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both"/>
        <w:ind w:right="40"/>
        <w:spacing w:after="0" w:line="268" w:lineRule="auto"/>
        <w:rPr>
          <w:sz w:val="20"/>
          <w:szCs w:val="20"/>
          <w:color w:val="auto"/>
        </w:rPr>
      </w:pPr>
      <w:r>
        <w:rPr>
          <w:rFonts w:ascii="Arial" w:cs="Arial" w:eastAsia="Arial" w:hAnsi="Arial"/>
          <w:sz w:val="17"/>
          <w:szCs w:val="17"/>
          <w:b w:val="1"/>
          <w:bCs w:val="1"/>
          <w:color w:val="auto"/>
        </w:rPr>
        <w:t>Fig. 7. Relationship between annual production of the single well and source rock thickness in Jurassic Da’anzhai Member in the Sichuan Basin.</w:t>
      </w:r>
    </w:p>
    <w:p>
      <w:pPr>
        <w:spacing w:after="0" w:line="113"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19"/>
          <w:szCs w:val="19"/>
          <w:color w:val="auto"/>
        </w:rPr>
        <w:t>and vertical source-reservoir combination controls verti-cal distribution pattern of the oil layer. The main hydro-carbon source layer controls the vertical near-source dis-tribution of oil layers. The relationship between source rock thickness and production shows a positive correla-tion between source rock thickness with oil production and oil layer proportion. The relationship between the annual production of single wells and the thickness of source rocks from the Da’anzhai member of central Si-chuan Basin (Fig. 7) indicates that the thicker the source rock, the higher the average annual production of single wells. The boundary of the source rocks controls the dis-tribution of tight oil. However, it is not entirely consistent or parallel to the boundary of the source rock because the secondary migration of tight oil occurs in a short distance. The reservoir sweet spot zone does not fully coincide with the source sweet spot zone.</w:t>
      </w:r>
    </w:p>
    <w:p>
      <w:pPr>
        <w:spacing w:after="0" w:line="20" w:lineRule="exact"/>
        <w:rPr>
          <w:sz w:val="20"/>
          <w:szCs w:val="20"/>
          <w:color w:val="auto"/>
        </w:rPr>
      </w:pPr>
      <w:r>
        <w:rPr>
          <w:sz w:val="20"/>
          <w:szCs w:val="20"/>
          <w:color w:val="auto"/>
        </w:rPr>
        <w:br w:type="column"/>
      </w:r>
    </w:p>
    <w:p>
      <w:pPr>
        <w:spacing w:after="0" w:line="310" w:lineRule="exact"/>
        <w:rPr>
          <w:sz w:val="20"/>
          <w:szCs w:val="20"/>
          <w:color w:val="auto"/>
        </w:rPr>
      </w:pPr>
    </w:p>
    <w:p>
      <w:pPr>
        <w:jc w:val="both"/>
        <w:spacing w:after="0" w:line="286" w:lineRule="auto"/>
        <w:rPr>
          <w:sz w:val="20"/>
          <w:szCs w:val="20"/>
          <w:color w:val="auto"/>
        </w:rPr>
      </w:pPr>
      <w:r>
        <w:rPr>
          <w:rFonts w:ascii="Times New Roman" w:cs="Times New Roman" w:eastAsia="Times New Roman" w:hAnsi="Times New Roman"/>
          <w:sz w:val="19"/>
          <w:szCs w:val="19"/>
          <w:color w:val="auto"/>
        </w:rPr>
        <w:t>the physical properties and pore-throat size of reservoir are essential controlling factors, which are shown in two aspects: (1) Large pores and throats can hold more hy-drocarbons to form rich sweet spot zones; (2) As advan-tageous migration channels, large pores and throats can promote the migration of tight oil. Under the control of the two factors, the more developed the reservoir, the higher the production of tight oil per well. Fig. 8 reveals the relationship between the degree of oil enrichment, migration efficiency, and physical characteristics of dif-ferent reservoirs by migration simulation experiments. From the aspect of charging resistance, the starting pressure gradient and critical pressure gradient have an apparent negative power function with permeability (Fig. 8a) and a more complex relationship with porosity, which is generally negatively correlated (Fig. 8b). The four anomalies in the upper right corner of Fig. 8b are sam-ples with large pores and small throats. The starting and critical pressure gradients are high. From the aspect of oil saturation, the porosity and permeability are generally linearly and positively correlated with oil saturation. The oil saturation increases significantly as the porosity and permeability increase (Fig. 8c, 8d).</w:t>
      </w:r>
    </w:p>
    <w:p>
      <w:pPr>
        <w:spacing w:after="0" w:line="298" w:lineRule="exact"/>
        <w:rPr>
          <w:sz w:val="20"/>
          <w:szCs w:val="20"/>
          <w:color w:val="auto"/>
        </w:rPr>
      </w:pPr>
    </w:p>
    <w:p>
      <w:pPr>
        <w:jc w:val="both"/>
        <w:ind w:firstLine="193"/>
        <w:spacing w:after="0" w:line="285" w:lineRule="auto"/>
        <w:rPr>
          <w:sz w:val="20"/>
          <w:szCs w:val="20"/>
          <w:color w:val="auto"/>
        </w:rPr>
      </w:pPr>
      <w:r>
        <w:rPr>
          <w:rFonts w:ascii="Times New Roman" w:cs="Times New Roman" w:eastAsia="Times New Roman" w:hAnsi="Times New Roman"/>
          <w:sz w:val="19"/>
          <w:szCs w:val="19"/>
          <w:color w:val="auto"/>
        </w:rPr>
        <w:t>The control effect of reservoir physical properties and pore and throat sizes is shown by the permeability and pore volume proportional to oil saturation (Table 2). The mechanism is that bound water is mainly in small pores and throats, so that the higher the proportion of the small pores and throats, the lower the oil saturation. NMR results show that the reservoir with large pores and throats has abundant tight oil.</w:t>
      </w:r>
    </w:p>
    <w:p>
      <w:pPr>
        <w:spacing w:after="0" w:line="278"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Experiments have proved that tight oil is more prone to be in the pores and throats larger than 100 nm in ra-dius. Chloroform “A” and pore size characterization re-veals the relationship between the chloroform “A” con-tent of the tight reservoir of the Qingshankou Formation and the porosity of different pore sizes. The higher the porosity of macropores or mesopores, the higher the as-phalt content in the reservoir.</w:t>
      </w:r>
    </w:p>
    <w:p>
      <w:pPr>
        <w:spacing w:after="0" w:line="396" w:lineRule="exact"/>
        <w:rPr>
          <w:sz w:val="20"/>
          <w:szCs w:val="20"/>
          <w:color w:val="auto"/>
        </w:rPr>
      </w:pPr>
    </w:p>
    <w:p>
      <w:pPr>
        <w:spacing w:after="0" w:line="264" w:lineRule="auto"/>
        <w:tabs>
          <w:tab w:leader="none" w:pos="156" w:val="left"/>
        </w:tabs>
        <w:numPr>
          <w:ilvl w:val="0"/>
          <w:numId w:val="7"/>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b w:val="1"/>
          <w:bCs w:val="1"/>
          <w:color w:val="auto"/>
        </w:rPr>
        <w:t>3. The anisotropy of reservoir structure reveals that the parallel migration rate is the highest</w:t>
      </w:r>
    </w:p>
    <w:p>
      <w:pPr>
        <w:spacing w:after="0" w:line="160" w:lineRule="exact"/>
        <w:rPr>
          <w:sz w:val="20"/>
          <w:szCs w:val="20"/>
          <w:color w:val="auto"/>
        </w:rPr>
      </w:pPr>
    </w:p>
    <w:p>
      <w:pPr>
        <w:jc w:val="both"/>
        <w:ind w:firstLine="193"/>
        <w:spacing w:after="0" w:line="270" w:lineRule="auto"/>
        <w:rPr>
          <w:sz w:val="20"/>
          <w:szCs w:val="20"/>
          <w:color w:val="auto"/>
        </w:rPr>
      </w:pPr>
      <w:r>
        <w:rPr>
          <w:rFonts w:ascii="Times New Roman" w:cs="Times New Roman" w:eastAsia="Times New Roman" w:hAnsi="Times New Roman"/>
          <w:sz w:val="19"/>
          <w:szCs w:val="19"/>
          <w:color w:val="auto"/>
        </w:rPr>
        <w:t>Tight reservoirs, especially clastic reservoirs, have ani-sotropic permeability in bedding and massive tight sand-stones. For example, the average permeability of the lay-ered argillaceous siltstone in the 7</w:t>
      </w:r>
      <w:r>
        <w:rPr>
          <w:rFonts w:ascii="Times New Roman" w:cs="Times New Roman" w:eastAsia="Times New Roman" w:hAnsi="Times New Roman"/>
          <w:sz w:val="22"/>
          <w:szCs w:val="22"/>
          <w:color w:val="auto"/>
          <w:vertAlign w:val="superscript"/>
        </w:rPr>
        <w:t>th</w:t>
      </w:r>
      <w:r>
        <w:rPr>
          <w:rFonts w:ascii="Times New Roman" w:cs="Times New Roman" w:eastAsia="Times New Roman" w:hAnsi="Times New Roman"/>
          <w:sz w:val="19"/>
          <w:szCs w:val="19"/>
          <w:color w:val="auto"/>
        </w:rPr>
        <w:t xml:space="preserve"> member of the Yan-chang Formation in Well Yan 56 in the Ordos Basin is</w:t>
      </w:r>
    </w:p>
    <w:p>
      <w:pPr>
        <w:spacing w:after="0" w:line="278" w:lineRule="exact"/>
        <w:rPr>
          <w:sz w:val="20"/>
          <w:szCs w:val="20"/>
          <w:color w:val="auto"/>
        </w:rPr>
      </w:pPr>
    </w:p>
    <w:p>
      <w:pPr>
        <w:jc w:val="both"/>
        <w:spacing w:after="0" w:line="309" w:lineRule="auto"/>
        <w:rPr>
          <w:sz w:val="20"/>
          <w:szCs w:val="20"/>
          <w:color w:val="auto"/>
        </w:rPr>
      </w:pPr>
      <w:r>
        <w:rPr>
          <w:rFonts w:ascii="Arial" w:cs="Arial" w:eastAsia="Arial" w:hAnsi="Arial"/>
          <w:sz w:val="17"/>
          <w:szCs w:val="17"/>
          <w:b w:val="1"/>
          <w:bCs w:val="1"/>
          <w:color w:val="auto"/>
        </w:rPr>
        <w:t>Table 2. Saturation of samples with different physical properties</w:t>
      </w:r>
    </w:p>
    <w:p>
      <w:pPr>
        <w:spacing w:after="0" w:line="1" w:lineRule="exact"/>
        <w:rPr>
          <w:sz w:val="20"/>
          <w:szCs w:val="20"/>
          <w:color w:val="auto"/>
        </w:rPr>
      </w:pPr>
    </w:p>
    <w:p>
      <w:pPr>
        <w:sectPr>
          <w:pgSz w:w="11900" w:h="16840" w:orient="portrait"/>
          <w:cols w:equalWidth="0" w:num="2">
            <w:col w:w="4800" w:space="420"/>
            <w:col w:w="4760"/>
          </w:cols>
          <w:pgMar w:left="960" w:top="1015" w:right="964" w:bottom="411" w:gutter="0" w:footer="0" w:header="0"/>
          <w:type w:val="continuous"/>
        </w:sectPr>
      </w:pPr>
    </w:p>
    <w:tbl>
      <w:tblPr>
        <w:tblLayout w:type="fixed"/>
        <w:tblInd w:w="0" w:type="dxa"/>
        <w:tblCellMar>
          <w:top w:w="0" w:type="dxa"/>
          <w:left w:w="0" w:type="dxa"/>
          <w:bottom w:w="0" w:type="dxa"/>
          <w:right w:w="0" w:type="dxa"/>
        </w:tblCellMar>
      </w:tblPr>
      <w:tr>
        <w:trPr>
          <w:trHeight w:val="28"/>
        </w:trPr>
        <w:tc>
          <w:tcPr>
            <w:tcW w:w="5220" w:type="dxa"/>
            <w:vAlign w:val="bottom"/>
            <w:vMerge w:val="restart"/>
          </w:tcPr>
          <w:p>
            <w:pPr>
              <w:spacing w:after="0" w:line="200" w:lineRule="exact"/>
              <w:rPr>
                <w:sz w:val="20"/>
                <w:szCs w:val="20"/>
                <w:color w:val="auto"/>
              </w:rPr>
            </w:pPr>
            <w:r>
              <w:rPr>
                <w:rFonts w:ascii="Times New Roman" w:cs="Times New Roman" w:eastAsia="Times New Roman" w:hAnsi="Times New Roman"/>
                <w:sz w:val="19"/>
                <w:szCs w:val="19"/>
                <w:b w:val="1"/>
                <w:bCs w:val="1"/>
                <w:color w:val="auto"/>
              </w:rPr>
              <w:t>3.2.  The physical properties and pore size of</w:t>
            </w:r>
          </w:p>
        </w:tc>
        <w:tc>
          <w:tcPr>
            <w:tcW w:w="66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58"/>
        </w:trPr>
        <w:tc>
          <w:tcPr>
            <w:tcW w:w="5220" w:type="dxa"/>
            <w:vAlign w:val="bottom"/>
            <w:vMerge w:val="continue"/>
          </w:tcPr>
          <w:p>
            <w:pPr>
              <w:spacing w:after="0"/>
              <w:rPr>
                <w:sz w:val="13"/>
                <w:szCs w:val="13"/>
                <w:color w:val="auto"/>
              </w:rPr>
            </w:pPr>
          </w:p>
        </w:tc>
        <w:tc>
          <w:tcPr>
            <w:tcW w:w="660" w:type="dxa"/>
            <w:vAlign w:val="bottom"/>
            <w:vMerge w:val="restart"/>
          </w:tcPr>
          <w:p>
            <w:pPr>
              <w:spacing w:after="0"/>
              <w:rPr>
                <w:sz w:val="20"/>
                <w:szCs w:val="20"/>
                <w:color w:val="auto"/>
              </w:rPr>
            </w:pPr>
            <w:r>
              <w:rPr>
                <w:rFonts w:ascii="Arial" w:cs="Arial" w:eastAsia="Arial" w:hAnsi="Arial"/>
                <w:sz w:val="17"/>
                <w:szCs w:val="17"/>
                <w:color w:val="auto"/>
              </w:rPr>
              <w:t>Sample</w:t>
            </w:r>
          </w:p>
        </w:tc>
        <w:tc>
          <w:tcPr>
            <w:tcW w:w="860" w:type="dxa"/>
            <w:vAlign w:val="bottom"/>
          </w:tcPr>
          <w:p>
            <w:pPr>
              <w:ind w:left="100"/>
              <w:spacing w:after="0" w:line="158" w:lineRule="exact"/>
              <w:rPr>
                <w:sz w:val="20"/>
                <w:szCs w:val="20"/>
                <w:color w:val="auto"/>
              </w:rPr>
            </w:pPr>
            <w:r>
              <w:rPr>
                <w:rFonts w:ascii="Arial" w:cs="Arial" w:eastAsia="Arial" w:hAnsi="Arial"/>
                <w:sz w:val="17"/>
                <w:szCs w:val="17"/>
                <w:color w:val="auto"/>
              </w:rPr>
              <w:t>Porosity/</w:t>
            </w:r>
          </w:p>
        </w:tc>
        <w:tc>
          <w:tcPr>
            <w:tcW w:w="1180" w:type="dxa"/>
            <w:vAlign w:val="bottom"/>
          </w:tcPr>
          <w:p>
            <w:pPr>
              <w:jc w:val="center"/>
              <w:spacing w:after="0" w:line="158" w:lineRule="exact"/>
              <w:rPr>
                <w:sz w:val="20"/>
                <w:szCs w:val="20"/>
                <w:color w:val="auto"/>
              </w:rPr>
            </w:pPr>
            <w:r>
              <w:rPr>
                <w:rFonts w:ascii="Arial" w:cs="Arial" w:eastAsia="Arial" w:hAnsi="Arial"/>
                <w:sz w:val="17"/>
                <w:szCs w:val="17"/>
                <w:color w:val="auto"/>
                <w:w w:val="99"/>
              </w:rPr>
              <w:t>Permeability/</w:t>
            </w:r>
          </w:p>
        </w:tc>
        <w:tc>
          <w:tcPr>
            <w:tcW w:w="1080" w:type="dxa"/>
            <w:vAlign w:val="bottom"/>
          </w:tcPr>
          <w:p>
            <w:pPr>
              <w:jc w:val="center"/>
              <w:spacing w:after="0" w:line="158" w:lineRule="exact"/>
              <w:rPr>
                <w:sz w:val="20"/>
                <w:szCs w:val="20"/>
                <w:color w:val="auto"/>
              </w:rPr>
            </w:pPr>
            <w:r>
              <w:rPr>
                <w:rFonts w:ascii="Arial" w:cs="Arial" w:eastAsia="Arial" w:hAnsi="Arial"/>
                <w:sz w:val="17"/>
                <w:szCs w:val="17"/>
                <w:color w:val="auto"/>
              </w:rPr>
              <w:t>Pore</w:t>
            </w:r>
          </w:p>
        </w:tc>
        <w:tc>
          <w:tcPr>
            <w:tcW w:w="1000" w:type="dxa"/>
            <w:vAlign w:val="bottom"/>
          </w:tcPr>
          <w:p>
            <w:pPr>
              <w:ind w:left="80"/>
              <w:spacing w:after="0" w:line="158" w:lineRule="exact"/>
              <w:rPr>
                <w:sz w:val="20"/>
                <w:szCs w:val="20"/>
                <w:color w:val="auto"/>
              </w:rPr>
            </w:pPr>
            <w:r>
              <w:rPr>
                <w:rFonts w:ascii="Arial" w:cs="Arial" w:eastAsia="Arial" w:hAnsi="Arial"/>
                <w:sz w:val="17"/>
                <w:szCs w:val="17"/>
                <w:color w:val="auto"/>
              </w:rPr>
              <w:t>Saturation/</w:t>
            </w:r>
          </w:p>
        </w:tc>
        <w:tc>
          <w:tcPr>
            <w:tcW w:w="0" w:type="dxa"/>
            <w:vAlign w:val="bottom"/>
          </w:tcPr>
          <w:p>
            <w:pPr>
              <w:spacing w:after="0"/>
              <w:rPr>
                <w:sz w:val="1"/>
                <w:szCs w:val="1"/>
                <w:color w:val="auto"/>
              </w:rPr>
            </w:pPr>
          </w:p>
        </w:tc>
      </w:tr>
      <w:tr>
        <w:trPr>
          <w:trHeight w:val="233"/>
        </w:trPr>
        <w:tc>
          <w:tcPr>
            <w:tcW w:w="522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reservoir are positively correlated with the degree of</w:t>
            </w:r>
          </w:p>
        </w:tc>
        <w:tc>
          <w:tcPr>
            <w:tcW w:w="660" w:type="dxa"/>
            <w:vAlign w:val="bottom"/>
            <w:tcBorders>
              <w:bottom w:val="single" w:sz="8" w:color="auto"/>
            </w:tcBorders>
            <w:vMerge w:val="continue"/>
          </w:tcPr>
          <w:p>
            <w:pPr>
              <w:spacing w:after="0"/>
              <w:rPr>
                <w:sz w:val="20"/>
                <w:szCs w:val="20"/>
                <w:color w:val="auto"/>
              </w:rPr>
            </w:pPr>
          </w:p>
        </w:tc>
        <w:tc>
          <w:tcPr>
            <w:tcW w:w="86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w:t>
            </w:r>
          </w:p>
        </w:tc>
        <w:tc>
          <w:tcPr>
            <w:tcW w:w="1180" w:type="dxa"/>
            <w:vAlign w:val="bottom"/>
            <w:tcBorders>
              <w:bottom w:val="single" w:sz="8" w:color="auto"/>
            </w:tcBorders>
          </w:tcPr>
          <w:p>
            <w:pPr>
              <w:jc w:val="center"/>
              <w:spacing w:after="0" w:line="232" w:lineRule="exact"/>
              <w:rPr>
                <w:sz w:val="20"/>
                <w:szCs w:val="20"/>
                <w:color w:val="auto"/>
              </w:rPr>
            </w:pPr>
            <w:r>
              <w:rPr>
                <w:rFonts w:ascii="Arial" w:cs="Arial" w:eastAsia="Arial" w:hAnsi="Arial"/>
                <w:sz w:val="17"/>
                <w:szCs w:val="17"/>
                <w:color w:val="auto"/>
                <w:w w:val="91"/>
              </w:rPr>
              <w:t>10</w:t>
            </w:r>
            <w:r>
              <w:rPr>
                <w:rFonts w:ascii="Arial" w:cs="Arial" w:eastAsia="Arial" w:hAnsi="Arial"/>
                <w:sz w:val="22"/>
                <w:szCs w:val="22"/>
                <w:color w:val="auto"/>
                <w:w w:val="91"/>
                <w:vertAlign w:val="superscript"/>
              </w:rPr>
              <w:t>−3</w:t>
            </w:r>
            <w:r>
              <w:rPr>
                <w:rFonts w:ascii="Arial" w:cs="Arial" w:eastAsia="Arial" w:hAnsi="Arial"/>
                <w:sz w:val="17"/>
                <w:szCs w:val="17"/>
                <w:color w:val="auto"/>
                <w:w w:val="91"/>
              </w:rPr>
              <w:t xml:space="preserve"> μm</w:t>
            </w:r>
            <w:r>
              <w:rPr>
                <w:rFonts w:ascii="Arial" w:cs="Arial" w:eastAsia="Arial" w:hAnsi="Arial"/>
                <w:sz w:val="22"/>
                <w:szCs w:val="22"/>
                <w:color w:val="auto"/>
                <w:w w:val="91"/>
                <w:vertAlign w:val="superscript"/>
              </w:rPr>
              <w:t>2</w:t>
            </w:r>
          </w:p>
        </w:tc>
        <w:tc>
          <w:tcPr>
            <w:tcW w:w="1080" w:type="dxa"/>
            <w:vAlign w:val="bottom"/>
            <w:tcBorders>
              <w:bottom w:val="single" w:sz="8" w:color="auto"/>
            </w:tcBorders>
          </w:tcPr>
          <w:p>
            <w:pPr>
              <w:jc w:val="center"/>
              <w:spacing w:after="0" w:line="232" w:lineRule="exact"/>
              <w:rPr>
                <w:sz w:val="20"/>
                <w:szCs w:val="20"/>
                <w:color w:val="auto"/>
              </w:rPr>
            </w:pPr>
            <w:r>
              <w:rPr>
                <w:rFonts w:ascii="Arial" w:cs="Arial" w:eastAsia="Arial" w:hAnsi="Arial"/>
                <w:sz w:val="17"/>
                <w:szCs w:val="17"/>
                <w:color w:val="auto"/>
                <w:w w:val="97"/>
              </w:rPr>
              <w:t>volume/cm</w:t>
            </w:r>
            <w:r>
              <w:rPr>
                <w:rFonts w:ascii="Arial" w:cs="Arial" w:eastAsia="Arial" w:hAnsi="Arial"/>
                <w:sz w:val="22"/>
                <w:szCs w:val="22"/>
                <w:color w:val="auto"/>
                <w:w w:val="97"/>
                <w:vertAlign w:val="superscript"/>
              </w:rPr>
              <w:t>3</w:t>
            </w:r>
          </w:p>
        </w:tc>
        <w:tc>
          <w:tcPr>
            <w:tcW w:w="100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2"/>
              </w:rPr>
              <w:t>%</w:t>
            </w:r>
          </w:p>
        </w:tc>
        <w:tc>
          <w:tcPr>
            <w:tcW w:w="0" w:type="dxa"/>
            <w:vAlign w:val="bottom"/>
          </w:tcPr>
          <w:p>
            <w:pPr>
              <w:spacing w:after="0"/>
              <w:rPr>
                <w:sz w:val="1"/>
                <w:szCs w:val="1"/>
                <w:color w:val="auto"/>
              </w:rPr>
            </w:pPr>
          </w:p>
        </w:tc>
      </w:tr>
      <w:tr>
        <w:trPr>
          <w:trHeight w:val="202"/>
        </w:trPr>
        <w:tc>
          <w:tcPr>
            <w:tcW w:w="5220" w:type="dxa"/>
            <w:vAlign w:val="bottom"/>
          </w:tcPr>
          <w:p>
            <w:pPr>
              <w:spacing w:after="0" w:line="203" w:lineRule="exact"/>
              <w:rPr>
                <w:sz w:val="20"/>
                <w:szCs w:val="20"/>
                <w:color w:val="auto"/>
              </w:rPr>
            </w:pPr>
            <w:r>
              <w:rPr>
                <w:rFonts w:ascii="Times New Roman" w:cs="Times New Roman" w:eastAsia="Times New Roman" w:hAnsi="Times New Roman"/>
                <w:sz w:val="19"/>
                <w:szCs w:val="19"/>
                <w:b w:val="1"/>
                <w:bCs w:val="1"/>
                <w:color w:val="auto"/>
              </w:rPr>
              <w:t>tight oil enrichment</w:t>
            </w:r>
          </w:p>
        </w:tc>
        <w:tc>
          <w:tcPr>
            <w:tcW w:w="660" w:type="dxa"/>
            <w:vAlign w:val="bottom"/>
          </w:tcPr>
          <w:p>
            <w:pPr>
              <w:spacing w:after="0"/>
              <w:rPr>
                <w:sz w:val="20"/>
                <w:szCs w:val="20"/>
                <w:color w:val="auto"/>
              </w:rPr>
            </w:pPr>
            <w:r>
              <w:rPr>
                <w:rFonts w:ascii="Arial" w:cs="Arial" w:eastAsia="Arial" w:hAnsi="Arial"/>
                <w:sz w:val="17"/>
                <w:szCs w:val="17"/>
                <w:color w:val="auto"/>
              </w:rPr>
              <w:t>B</w:t>
            </w:r>
          </w:p>
        </w:tc>
        <w:tc>
          <w:tcPr>
            <w:tcW w:w="860" w:type="dxa"/>
            <w:vAlign w:val="bottom"/>
          </w:tcPr>
          <w:p>
            <w:pPr>
              <w:jc w:val="center"/>
              <w:spacing w:after="0"/>
              <w:rPr>
                <w:sz w:val="20"/>
                <w:szCs w:val="20"/>
                <w:color w:val="auto"/>
              </w:rPr>
            </w:pPr>
            <w:r>
              <w:rPr>
                <w:rFonts w:ascii="Arial" w:cs="Arial" w:eastAsia="Arial" w:hAnsi="Arial"/>
                <w:sz w:val="17"/>
                <w:szCs w:val="17"/>
                <w:color w:val="auto"/>
                <w:w w:val="98"/>
              </w:rPr>
              <w:t>11.80</w:t>
            </w:r>
          </w:p>
        </w:tc>
        <w:tc>
          <w:tcPr>
            <w:tcW w:w="1180" w:type="dxa"/>
            <w:vAlign w:val="bottom"/>
          </w:tcPr>
          <w:p>
            <w:pPr>
              <w:jc w:val="center"/>
              <w:spacing w:after="0"/>
              <w:rPr>
                <w:sz w:val="20"/>
                <w:szCs w:val="20"/>
                <w:color w:val="auto"/>
              </w:rPr>
            </w:pPr>
            <w:r>
              <w:rPr>
                <w:rFonts w:ascii="Arial" w:cs="Arial" w:eastAsia="Arial" w:hAnsi="Arial"/>
                <w:sz w:val="17"/>
                <w:szCs w:val="17"/>
                <w:color w:val="auto"/>
                <w:w w:val="98"/>
              </w:rPr>
              <w:t>0.040</w:t>
            </w:r>
          </w:p>
        </w:tc>
        <w:tc>
          <w:tcPr>
            <w:tcW w:w="1080" w:type="dxa"/>
            <w:vAlign w:val="bottom"/>
          </w:tcPr>
          <w:p>
            <w:pPr>
              <w:jc w:val="center"/>
              <w:spacing w:after="0"/>
              <w:rPr>
                <w:sz w:val="20"/>
                <w:szCs w:val="20"/>
                <w:color w:val="auto"/>
              </w:rPr>
            </w:pPr>
            <w:r>
              <w:rPr>
                <w:rFonts w:ascii="Arial" w:cs="Arial" w:eastAsia="Arial" w:hAnsi="Arial"/>
                <w:sz w:val="17"/>
                <w:szCs w:val="17"/>
                <w:color w:val="auto"/>
              </w:rPr>
              <w:t>1.34</w:t>
            </w:r>
          </w:p>
        </w:tc>
        <w:tc>
          <w:tcPr>
            <w:tcW w:w="1000" w:type="dxa"/>
            <w:vAlign w:val="bottom"/>
          </w:tcPr>
          <w:p>
            <w:pPr>
              <w:jc w:val="center"/>
              <w:spacing w:after="0"/>
              <w:rPr>
                <w:sz w:val="20"/>
                <w:szCs w:val="20"/>
                <w:color w:val="auto"/>
              </w:rPr>
            </w:pPr>
            <w:r>
              <w:rPr>
                <w:rFonts w:ascii="Arial" w:cs="Arial" w:eastAsia="Arial" w:hAnsi="Arial"/>
                <w:sz w:val="17"/>
                <w:szCs w:val="17"/>
                <w:color w:val="auto"/>
                <w:w w:val="94"/>
              </w:rPr>
              <w:t>62</w:t>
            </w:r>
          </w:p>
        </w:tc>
        <w:tc>
          <w:tcPr>
            <w:tcW w:w="0" w:type="dxa"/>
            <w:vAlign w:val="bottom"/>
          </w:tcPr>
          <w:p>
            <w:pPr>
              <w:spacing w:after="0"/>
              <w:rPr>
                <w:sz w:val="1"/>
                <w:szCs w:val="1"/>
                <w:color w:val="auto"/>
              </w:rPr>
            </w:pPr>
          </w:p>
        </w:tc>
      </w:tr>
      <w:tr>
        <w:trPr>
          <w:trHeight w:val="159"/>
        </w:trPr>
        <w:tc>
          <w:tcPr>
            <w:tcW w:w="5220" w:type="dxa"/>
            <w:vAlign w:val="bottom"/>
          </w:tcPr>
          <w:p>
            <w:pPr>
              <w:spacing w:after="0"/>
              <w:rPr>
                <w:sz w:val="13"/>
                <w:szCs w:val="13"/>
                <w:color w:val="auto"/>
              </w:rPr>
            </w:pPr>
          </w:p>
        </w:tc>
        <w:tc>
          <w:tcPr>
            <w:tcW w:w="660" w:type="dxa"/>
            <w:vAlign w:val="bottom"/>
          </w:tcPr>
          <w:p>
            <w:pPr>
              <w:spacing w:after="0" w:line="159" w:lineRule="exact"/>
              <w:rPr>
                <w:sz w:val="20"/>
                <w:szCs w:val="20"/>
                <w:color w:val="auto"/>
              </w:rPr>
            </w:pPr>
            <w:r>
              <w:rPr>
                <w:rFonts w:ascii="Arial" w:cs="Arial" w:eastAsia="Arial" w:hAnsi="Arial"/>
                <w:sz w:val="17"/>
                <w:szCs w:val="17"/>
                <w:color w:val="auto"/>
              </w:rPr>
              <w:t>D</w:t>
            </w:r>
          </w:p>
        </w:tc>
        <w:tc>
          <w:tcPr>
            <w:tcW w:w="860" w:type="dxa"/>
            <w:vAlign w:val="bottom"/>
          </w:tcPr>
          <w:p>
            <w:pPr>
              <w:jc w:val="center"/>
              <w:spacing w:after="0" w:line="159" w:lineRule="exact"/>
              <w:rPr>
                <w:sz w:val="20"/>
                <w:szCs w:val="20"/>
                <w:color w:val="auto"/>
              </w:rPr>
            </w:pPr>
            <w:r>
              <w:rPr>
                <w:rFonts w:ascii="Arial" w:cs="Arial" w:eastAsia="Arial" w:hAnsi="Arial"/>
                <w:sz w:val="17"/>
                <w:szCs w:val="17"/>
                <w:color w:val="auto"/>
                <w:w w:val="98"/>
              </w:rPr>
              <w:t>12.92</w:t>
            </w:r>
          </w:p>
        </w:tc>
        <w:tc>
          <w:tcPr>
            <w:tcW w:w="1180" w:type="dxa"/>
            <w:vAlign w:val="bottom"/>
          </w:tcPr>
          <w:p>
            <w:pPr>
              <w:jc w:val="center"/>
              <w:spacing w:after="0" w:line="159" w:lineRule="exact"/>
              <w:rPr>
                <w:sz w:val="20"/>
                <w:szCs w:val="20"/>
                <w:color w:val="auto"/>
              </w:rPr>
            </w:pPr>
            <w:r>
              <w:rPr>
                <w:rFonts w:ascii="Arial" w:cs="Arial" w:eastAsia="Arial" w:hAnsi="Arial"/>
                <w:sz w:val="17"/>
                <w:szCs w:val="17"/>
                <w:color w:val="auto"/>
                <w:w w:val="98"/>
              </w:rPr>
              <w:t>0.012</w:t>
            </w:r>
          </w:p>
        </w:tc>
        <w:tc>
          <w:tcPr>
            <w:tcW w:w="1080" w:type="dxa"/>
            <w:vAlign w:val="bottom"/>
          </w:tcPr>
          <w:p>
            <w:pPr>
              <w:jc w:val="center"/>
              <w:spacing w:after="0" w:line="159" w:lineRule="exact"/>
              <w:rPr>
                <w:sz w:val="20"/>
                <w:szCs w:val="20"/>
                <w:color w:val="auto"/>
              </w:rPr>
            </w:pPr>
            <w:r>
              <w:rPr>
                <w:rFonts w:ascii="Arial" w:cs="Arial" w:eastAsia="Arial" w:hAnsi="Arial"/>
                <w:sz w:val="17"/>
                <w:szCs w:val="17"/>
                <w:color w:val="auto"/>
              </w:rPr>
              <w:t>1.47</w:t>
            </w:r>
          </w:p>
        </w:tc>
        <w:tc>
          <w:tcPr>
            <w:tcW w:w="1000" w:type="dxa"/>
            <w:vAlign w:val="bottom"/>
          </w:tcPr>
          <w:p>
            <w:pPr>
              <w:jc w:val="center"/>
              <w:spacing w:after="0" w:line="159" w:lineRule="exact"/>
              <w:rPr>
                <w:sz w:val="20"/>
                <w:szCs w:val="20"/>
                <w:color w:val="auto"/>
              </w:rPr>
            </w:pPr>
            <w:r>
              <w:rPr>
                <w:rFonts w:ascii="Arial" w:cs="Arial" w:eastAsia="Arial" w:hAnsi="Arial"/>
                <w:sz w:val="17"/>
                <w:szCs w:val="17"/>
                <w:color w:val="auto"/>
                <w:w w:val="94"/>
              </w:rPr>
              <w:t>41</w:t>
            </w:r>
          </w:p>
        </w:tc>
        <w:tc>
          <w:tcPr>
            <w:tcW w:w="0" w:type="dxa"/>
            <w:vAlign w:val="bottom"/>
          </w:tcPr>
          <w:p>
            <w:pPr>
              <w:spacing w:after="0"/>
              <w:rPr>
                <w:sz w:val="1"/>
                <w:szCs w:val="1"/>
                <w:color w:val="auto"/>
              </w:rPr>
            </w:pPr>
          </w:p>
        </w:tc>
      </w:tr>
      <w:tr>
        <w:trPr>
          <w:trHeight w:val="216"/>
        </w:trPr>
        <w:tc>
          <w:tcPr>
            <w:tcW w:w="5220" w:type="dxa"/>
            <w:vAlign w:val="bottom"/>
          </w:tcPr>
          <w:p>
            <w:pPr>
              <w:ind w:left="200"/>
              <w:spacing w:after="0" w:line="216" w:lineRule="exact"/>
              <w:rPr>
                <w:sz w:val="20"/>
                <w:szCs w:val="20"/>
                <w:color w:val="auto"/>
              </w:rPr>
            </w:pPr>
            <w:r>
              <w:rPr>
                <w:rFonts w:ascii="Times New Roman" w:cs="Times New Roman" w:eastAsia="Times New Roman" w:hAnsi="Times New Roman"/>
                <w:sz w:val="19"/>
                <w:szCs w:val="19"/>
                <w:color w:val="auto"/>
              </w:rPr>
              <w:t>When considering the degree of tight oil enrichment,</w:t>
            </w:r>
          </w:p>
        </w:tc>
        <w:tc>
          <w:tcPr>
            <w:tcW w:w="660" w:type="dxa"/>
            <w:vAlign w:val="bottom"/>
            <w:tcBorders>
              <w:bottom w:val="single" w:sz="8" w:color="auto"/>
            </w:tcBorders>
          </w:tcPr>
          <w:p>
            <w:pPr>
              <w:spacing w:after="0"/>
              <w:rPr>
                <w:sz w:val="20"/>
                <w:szCs w:val="20"/>
                <w:color w:val="auto"/>
              </w:rPr>
            </w:pPr>
            <w:r>
              <w:rPr>
                <w:rFonts w:ascii="Arial" w:cs="Arial" w:eastAsia="Arial" w:hAnsi="Arial"/>
                <w:sz w:val="17"/>
                <w:szCs w:val="17"/>
                <w:color w:val="auto"/>
              </w:rPr>
              <w:t>E</w:t>
            </w:r>
          </w:p>
        </w:tc>
        <w:tc>
          <w:tcPr>
            <w:tcW w:w="86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10.20</w:t>
            </w:r>
          </w:p>
        </w:tc>
        <w:tc>
          <w:tcPr>
            <w:tcW w:w="11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0.010</w:t>
            </w:r>
          </w:p>
        </w:tc>
        <w:tc>
          <w:tcPr>
            <w:tcW w:w="10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1.16</w:t>
            </w:r>
          </w:p>
        </w:tc>
        <w:tc>
          <w:tcPr>
            <w:tcW w:w="100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4"/>
              </w:rPr>
              <w:t>26</w:t>
            </w:r>
          </w:p>
        </w:tc>
        <w:tc>
          <w:tcPr>
            <w:tcW w:w="0" w:type="dxa"/>
            <w:vAlign w:val="bottom"/>
          </w:tcPr>
          <w:p>
            <w:pPr>
              <w:spacing w:after="0"/>
              <w:rPr>
                <w:sz w:val="1"/>
                <w:szCs w:val="1"/>
                <w:color w:val="auto"/>
              </w:rPr>
            </w:pPr>
          </w:p>
        </w:tc>
      </w:tr>
    </w:tbl>
    <w:p>
      <w:pPr>
        <w:spacing w:after="0" w:line="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554</w:t>
      </w:r>
    </w:p>
    <w:p>
      <w:pPr>
        <w:sectPr>
          <w:pgSz w:w="11900" w:h="16840" w:orient="portrait"/>
          <w:cols w:equalWidth="0" w:num="1">
            <w:col w:w="9980"/>
          </w:cols>
          <w:pgMar w:left="960" w:top="1015" w:right="964" w:bottom="411" w:gutter="0" w:footer="0" w:header="0"/>
          <w:type w:val="continuous"/>
        </w:sectPr>
      </w:pPr>
    </w:p>
    <w:bookmarkStart w:id="8" w:name="page9"/>
    <w:bookmarkEnd w:id="8"/>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HU Suyun et al. / Petroleum Exploration and Development, 2023, 50(3): 547–557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180975</wp:posOffset>
            </wp:positionV>
            <wp:extent cx="6309360" cy="42792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extLst>
                    </a:blip>
                    <a:srcRect/>
                    <a:stretch>
                      <a:fillRect/>
                    </a:stretch>
                  </pic:blipFill>
                  <pic:spPr bwMode="auto">
                    <a:xfrm>
                      <a:off x="0" y="0"/>
                      <a:ext cx="6309360" cy="4279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center"/>
        <w:spacing w:after="0"/>
        <w:tabs>
          <w:tab w:leader="none" w:pos="160" w:val="left"/>
        </w:tabs>
        <w:rPr>
          <w:sz w:val="20"/>
          <w:szCs w:val="20"/>
          <w:color w:val="auto"/>
        </w:rPr>
      </w:pPr>
      <w:r>
        <w:rPr>
          <w:rFonts w:ascii="Arial" w:cs="Arial" w:eastAsia="Arial" w:hAnsi="Arial"/>
          <w:sz w:val="17"/>
          <w:szCs w:val="17"/>
          <w:b w:val="1"/>
          <w:bCs w:val="1"/>
          <w:color w:val="auto"/>
        </w:rPr>
        <w:t>Fig. 8.</w:t>
        <w:tab/>
        <w:t>Relationship between reservoir physical properties and flow characteristic parameters and oil saturation.</w:t>
      </w:r>
    </w:p>
    <w:p>
      <w:pPr>
        <w:sectPr>
          <w:pgSz w:w="11900" w:h="16840" w:orient="portrait"/>
          <w:cols w:equalWidth="0" w:num="1">
            <w:col w:w="9980"/>
          </w:cols>
          <w:pgMar w:left="960" w:top="1015" w:right="964" w:bottom="411" w:gutter="0" w:footer="0" w:header="0"/>
        </w:sectPr>
      </w:pPr>
    </w:p>
    <w:p>
      <w:pPr>
        <w:spacing w:after="0" w:line="266"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9"/>
          <w:szCs w:val="19"/>
          <w:color w:val="auto"/>
        </w:rPr>
        <w:t>300×10</w:t>
      </w:r>
      <w:r>
        <w:rPr>
          <w:rFonts w:ascii="Times New Roman" w:cs="Times New Roman" w:eastAsia="Times New Roman" w:hAnsi="Times New Roman"/>
          <w:sz w:val="22"/>
          <w:szCs w:val="22"/>
          <w:color w:val="auto"/>
          <w:vertAlign w:val="superscript"/>
        </w:rPr>
        <w:t>−9</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parallel to the bedding and 100×10</w:t>
      </w:r>
      <w:r>
        <w:rPr>
          <w:rFonts w:ascii="Times New Roman" w:cs="Times New Roman" w:eastAsia="Times New Roman" w:hAnsi="Times New Roman"/>
          <w:sz w:val="22"/>
          <w:szCs w:val="22"/>
          <w:color w:val="auto"/>
          <w:vertAlign w:val="superscript"/>
        </w:rPr>
        <w:t>−9</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perpendicular to the bedding. The average permeability of the blocky fine sandstone is 0.229×10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parallel to the bedding, and 0.114×10</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perpendicular to the bedding. The anisotropy of reservoir structure controls oil migration direction and efficiency. The resistance parallel is significantly smaller than that perpendicular to the bedding, so tight oil first migrates along the bedding. The laminated siltstone cores parallel and perpendicular to the bedding are taken from the same location in the 7</w:t>
      </w:r>
      <w:r>
        <w:rPr>
          <w:rFonts w:ascii="Times New Roman" w:cs="Times New Roman" w:eastAsia="Times New Roman" w:hAnsi="Times New Roman"/>
          <w:sz w:val="22"/>
          <w:szCs w:val="22"/>
          <w:color w:val="auto"/>
          <w:vertAlign w:val="superscript"/>
        </w:rPr>
        <w:t>th</w:t>
      </w:r>
      <w:r>
        <w:rPr>
          <w:rFonts w:ascii="Times New Roman" w:cs="Times New Roman" w:eastAsia="Times New Roman" w:hAnsi="Times New Roman"/>
          <w:sz w:val="19"/>
          <w:szCs w:val="19"/>
          <w:color w:val="auto"/>
        </w:rPr>
        <w:t xml:space="preserve"> member of the Yanchang Formation (Chang 7 Member for short) in Well Hu 261. The starting pressure gradient of the core parallel to the bedding is 2.16 MPa/cm, and that perpendicular to the bedding is 8.74 MPa/cm. The apparent difference in the pressure gradient determines the significant difference in the migration resistance and rate of tight oil in different directions. In the direction par-allel to bedding, the migration resistance is small, and the migration rate is higher (Fig. 9).</w:t>
      </w:r>
    </w:p>
    <w:p>
      <w:pPr>
        <w:spacing w:after="0" w:line="200" w:lineRule="exact"/>
        <w:rPr>
          <w:sz w:val="20"/>
          <w:szCs w:val="20"/>
          <w:color w:val="auto"/>
        </w:rPr>
      </w:pPr>
    </w:p>
    <w:p>
      <w:pPr>
        <w:spacing w:after="0" w:line="213" w:lineRule="exact"/>
        <w:rPr>
          <w:sz w:val="20"/>
          <w:szCs w:val="20"/>
          <w:color w:val="auto"/>
        </w:rPr>
      </w:pPr>
    </w:p>
    <w:p>
      <w:pPr>
        <w:jc w:val="both"/>
        <w:ind w:right="20"/>
        <w:spacing w:after="0" w:line="263" w:lineRule="auto"/>
        <w:rPr>
          <w:sz w:val="20"/>
          <w:szCs w:val="20"/>
          <w:color w:val="auto"/>
        </w:rPr>
      </w:pPr>
      <w:r>
        <w:rPr>
          <w:rFonts w:ascii="Times New Roman" w:cs="Times New Roman" w:eastAsia="Times New Roman" w:hAnsi="Times New Roman"/>
          <w:sz w:val="19"/>
          <w:szCs w:val="19"/>
          <w:b w:val="1"/>
          <w:bCs w:val="1"/>
          <w:color w:val="auto"/>
        </w:rPr>
        <w:t>3.4. Fractures in the layer improve the migration and accumulation efficiency and oil saturation</w:t>
      </w:r>
    </w:p>
    <w:p>
      <w:pPr>
        <w:spacing w:after="0" w:line="161" w:lineRule="exact"/>
        <w:rPr>
          <w:sz w:val="20"/>
          <w:szCs w:val="20"/>
          <w:color w:val="auto"/>
        </w:rPr>
      </w:pPr>
    </w:p>
    <w:p>
      <w:pPr>
        <w:jc w:val="both"/>
        <w:ind w:right="20"/>
        <w:spacing w:after="0" w:line="278" w:lineRule="auto"/>
        <w:rPr>
          <w:sz w:val="20"/>
          <w:szCs w:val="20"/>
          <w:color w:val="auto"/>
        </w:rPr>
      </w:pPr>
      <w:r>
        <w:rPr>
          <w:rFonts w:ascii="Times New Roman" w:cs="Times New Roman" w:eastAsia="Times New Roman" w:hAnsi="Times New Roman"/>
          <w:sz w:val="19"/>
          <w:szCs w:val="19"/>
          <w:color w:val="auto"/>
        </w:rPr>
        <w:t>Fractures in tight oil reservoirs significantly improve the migration and accumulation efficiency and enrichment degree. They can reduce the migration resistance and increase the oil saturation of the tight reservoirs. The</w:t>
      </w:r>
    </w:p>
    <w:p>
      <w:pPr>
        <w:spacing w:after="0" w:line="20" w:lineRule="exact"/>
        <w:rPr>
          <w:sz w:val="20"/>
          <w:szCs w:val="20"/>
          <w:color w:val="auto"/>
        </w:rPr>
      </w:pPr>
      <w:r>
        <w:rPr>
          <w:sz w:val="20"/>
          <w:szCs w:val="20"/>
          <w:color w:val="auto"/>
        </w:rPr>
        <w:br w:type="column"/>
      </w:r>
    </w:p>
    <w:p>
      <w:pPr>
        <w:spacing w:after="0" w:line="245"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9"/>
          <w:szCs w:val="19"/>
          <w:color w:val="auto"/>
        </w:rPr>
        <w:t>correlation between charging pressure and oil saturation in the tight reservoir of the Qingshankou Formation in Songliao Basin indicates the oil saturation of the samples with developed fractures is significantly higher (Fig. 10).</w:t>
      </w:r>
    </w:p>
    <w:p>
      <w:pPr>
        <w:spacing w:after="0" w:line="28" w:lineRule="exact"/>
        <w:rPr>
          <w:sz w:val="20"/>
          <w:szCs w:val="20"/>
          <w:color w:val="auto"/>
        </w:rPr>
      </w:pPr>
    </w:p>
    <w:p>
      <w:pPr>
        <w:jc w:val="both"/>
        <w:ind w:firstLine="190"/>
        <w:spacing w:after="0" w:line="279" w:lineRule="auto"/>
        <w:rPr>
          <w:sz w:val="20"/>
          <w:szCs w:val="20"/>
          <w:color w:val="auto"/>
        </w:rPr>
      </w:pPr>
      <w:r>
        <w:rPr>
          <w:rFonts w:ascii="Times New Roman" w:cs="Times New Roman" w:eastAsia="Times New Roman" w:hAnsi="Times New Roman"/>
          <w:sz w:val="19"/>
          <w:szCs w:val="19"/>
          <w:color w:val="auto"/>
        </w:rPr>
        <w:t>The controlling effect and influence of fractures are shown in two aspects: (1) Fractures are dominant chan-nels and can communicate more matrix pores, improve the overall oil saturation of the reservoir and local en-richment of tight oil in the area with developed fractures.</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(2) Fractures are advantageous channels for oil flow,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203200</wp:posOffset>
            </wp:positionV>
            <wp:extent cx="3017520" cy="19627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extLst>
                    </a:blip>
                    <a:srcRect/>
                    <a:stretch>
                      <a:fillRect/>
                    </a:stretch>
                  </pic:blipFill>
                  <pic:spPr bwMode="auto">
                    <a:xfrm>
                      <a:off x="0" y="0"/>
                      <a:ext cx="3017520" cy="1962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both"/>
        <w:spacing w:after="0" w:line="268" w:lineRule="auto"/>
        <w:rPr>
          <w:sz w:val="20"/>
          <w:szCs w:val="20"/>
          <w:color w:val="auto"/>
        </w:rPr>
      </w:pPr>
      <w:r>
        <w:rPr>
          <w:rFonts w:ascii="Arial" w:cs="Arial" w:eastAsia="Arial" w:hAnsi="Arial"/>
          <w:sz w:val="17"/>
          <w:szCs w:val="17"/>
          <w:b w:val="1"/>
          <w:bCs w:val="1"/>
          <w:color w:val="auto"/>
        </w:rPr>
        <w:t>Fig. 9. Relationship between starting pressure gradient and flow rate in laminated fine sandstone samples of the Chang 7 Member, Ordos Basin.</w:t>
      </w:r>
    </w:p>
    <w:p>
      <w:pPr>
        <w:spacing w:after="0" w:line="127" w:lineRule="exact"/>
        <w:rPr>
          <w:sz w:val="20"/>
          <w:szCs w:val="20"/>
          <w:color w:val="auto"/>
        </w:rPr>
      </w:pPr>
    </w:p>
    <w:p>
      <w:pPr>
        <w:sectPr>
          <w:pgSz w:w="11900" w:h="16840" w:orient="portrait"/>
          <w:cols w:equalWidth="0" w:num="2">
            <w:col w:w="4780" w:space="440"/>
            <w:col w:w="4760"/>
          </w:cols>
          <w:pgMar w:left="960" w:top="1015" w:right="964" w:bottom="411" w:gutter="0" w:footer="0" w:header="0"/>
          <w:type w:val="continuous"/>
        </w:sectPr>
      </w:pPr>
    </w:p>
    <w:p>
      <w:pPr>
        <w:jc w:val="center"/>
        <w:ind w:right="-19"/>
        <w:spacing w:after="0"/>
        <w:rPr>
          <w:sz w:val="20"/>
          <w:szCs w:val="20"/>
          <w:color w:val="auto"/>
        </w:rPr>
      </w:pPr>
      <w:r>
        <w:rPr>
          <w:rFonts w:ascii="Times New Roman" w:cs="Times New Roman" w:eastAsia="Times New Roman" w:hAnsi="Times New Roman"/>
          <w:sz w:val="18"/>
          <w:szCs w:val="18"/>
          <w:color w:val="auto"/>
        </w:rPr>
        <w:t>555</w:t>
      </w:r>
    </w:p>
    <w:p>
      <w:pPr>
        <w:sectPr>
          <w:pgSz w:w="11900" w:h="16840" w:orient="portrait"/>
          <w:cols w:equalWidth="0" w:num="1">
            <w:col w:w="9980"/>
          </w:cols>
          <w:pgMar w:left="960" w:top="1015" w:right="964" w:bottom="411" w:gutter="0" w:footer="0" w:header="0"/>
          <w:type w:val="continuous"/>
        </w:sectPr>
      </w:pPr>
    </w:p>
    <w:bookmarkStart w:id="9" w:name="page10"/>
    <w:bookmarkEnd w:id="9"/>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HU Suyun et al. / Petroleum Exploration and Development, 2023, 50(3): 547–557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180975</wp:posOffset>
            </wp:positionV>
            <wp:extent cx="3023870" cy="18757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extLst>
                    </a:blip>
                    <a:srcRect/>
                    <a:stretch>
                      <a:fillRect/>
                    </a:stretch>
                  </pic:blipFill>
                  <pic:spPr bwMode="auto">
                    <a:xfrm>
                      <a:off x="0" y="0"/>
                      <a:ext cx="3023870" cy="1875790"/>
                    </a:xfrm>
                    <a:prstGeom prst="rect">
                      <a:avLst/>
                    </a:prstGeom>
                    <a:noFill/>
                  </pic:spPr>
                </pic:pic>
              </a:graphicData>
            </a:graphic>
          </wp:anchor>
        </w:drawing>
      </w:r>
    </w:p>
    <w:p>
      <w:pPr>
        <w:spacing w:after="0" w:line="263" w:lineRule="exact"/>
        <w:rPr>
          <w:sz w:val="20"/>
          <w:szCs w:val="20"/>
          <w:color w:val="auto"/>
        </w:rPr>
      </w:pPr>
    </w:p>
    <w:p>
      <w:pPr>
        <w:ind w:left="5220"/>
        <w:spacing w:after="0"/>
        <w:tabs>
          <w:tab w:leader="none" w:pos="5600" w:val="left"/>
        </w:tabs>
        <w:rPr>
          <w:sz w:val="20"/>
          <w:szCs w:val="20"/>
          <w:color w:val="auto"/>
        </w:rPr>
      </w:pPr>
      <w:r>
        <w:rPr>
          <w:rFonts w:ascii="Times New Roman" w:cs="Times New Roman" w:eastAsia="Times New Roman" w:hAnsi="Times New Roman"/>
          <w:sz w:val="22"/>
          <w:szCs w:val="22"/>
          <w:b w:val="1"/>
          <w:bCs w:val="1"/>
          <w:color w:val="auto"/>
        </w:rPr>
        <w:t>4.</w:t>
        <w:tab/>
        <w:t>Conclusions</w:t>
      </w:r>
    </w:p>
    <w:p>
      <w:pPr>
        <w:sectPr>
          <w:pgSz w:w="11900" w:h="16840" w:orient="portrait"/>
          <w:cols w:equalWidth="0" w:num="1">
            <w:col w:w="9980"/>
          </w:cols>
          <w:pgMar w:left="960" w:top="1015" w:right="964" w:bottom="4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spacing w:after="0" w:line="268" w:lineRule="auto"/>
        <w:rPr>
          <w:sz w:val="20"/>
          <w:szCs w:val="20"/>
          <w:color w:val="auto"/>
        </w:rPr>
      </w:pPr>
      <w:r>
        <w:rPr>
          <w:rFonts w:ascii="Arial" w:cs="Arial" w:eastAsia="Arial" w:hAnsi="Arial"/>
          <w:sz w:val="17"/>
          <w:szCs w:val="17"/>
          <w:b w:val="1"/>
          <w:bCs w:val="1"/>
          <w:color w:val="auto"/>
        </w:rPr>
        <w:t>Fig. 10. Relationship between charging pressure and oil saturation of the tight reservoir in the Qingshankou Formation in the Songliao Basin.</w:t>
      </w:r>
    </w:p>
    <w:p>
      <w:pPr>
        <w:spacing w:after="0" w:line="201"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19"/>
          <w:szCs w:val="19"/>
          <w:color w:val="auto"/>
        </w:rPr>
        <w:t>improving the oil production rate, and increase produc-ing oil reserves, resulting in high initial and cumulative oil production.</w:t>
      </w:r>
    </w:p>
    <w:p>
      <w:pPr>
        <w:spacing w:after="0" w:line="31" w:lineRule="exact"/>
        <w:rPr>
          <w:sz w:val="20"/>
          <w:szCs w:val="20"/>
          <w:color w:val="auto"/>
        </w:rPr>
      </w:pPr>
    </w:p>
    <w:p>
      <w:pPr>
        <w:jc w:val="both"/>
        <w:ind w:firstLine="193"/>
        <w:spacing w:after="0" w:line="278" w:lineRule="auto"/>
        <w:rPr>
          <w:sz w:val="20"/>
          <w:szCs w:val="20"/>
          <w:color w:val="auto"/>
        </w:rPr>
      </w:pPr>
      <w:r>
        <w:rPr>
          <w:rFonts w:ascii="Times New Roman" w:cs="Times New Roman" w:eastAsia="Times New Roman" w:hAnsi="Times New Roman"/>
          <w:sz w:val="19"/>
          <w:szCs w:val="19"/>
          <w:color w:val="auto"/>
        </w:rPr>
        <w:t>During tight oil development, fractures often lead to high yield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[27]</w:t>
      </w:r>
      <w:r>
        <w:rPr>
          <w:rFonts w:ascii="Times New Roman" w:cs="Times New Roman" w:eastAsia="Times New Roman" w:hAnsi="Times New Roman"/>
          <w:sz w:val="19"/>
          <w:szCs w:val="19"/>
          <w:color w:val="auto"/>
        </w:rPr>
        <w:t>. In the previous exploration of the Jurassic in central Sichuan, fractures significantly impacted the productivity of oil wells, and fracture development areas often provided high yield. Production performances show that tight oil reservoirs in the Jurassic in central Sichuan have typical dual-porosity seepage characteristics, and fractures are the controlling factor on high production in the early stage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[28]</w:t>
      </w:r>
      <w:r>
        <w:rPr>
          <w:rFonts w:ascii="Times New Roman" w:cs="Times New Roman" w:eastAsia="Times New Roman" w:hAnsi="Times New Roman"/>
          <w:sz w:val="19"/>
          <w:szCs w:val="19"/>
          <w:color w:val="auto"/>
        </w:rPr>
        <w:t>. Based on the previous experience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[9]</w:t>
      </w:r>
      <w:r>
        <w:rPr>
          <w:rFonts w:ascii="Times New Roman" w:cs="Times New Roman" w:eastAsia="Times New Roman" w:hAnsi="Times New Roman"/>
          <w:sz w:val="19"/>
          <w:szCs w:val="19"/>
          <w:color w:val="auto"/>
        </w:rPr>
        <w:t>, the single-well production in G oilfield was superimposed on the fracture porosity chart (Fig. 11), indicating that most of the high-yield wells in this field are located in the zone with higher fracture porosity.</w:t>
      </w:r>
    </w:p>
    <w:p>
      <w:pPr>
        <w:spacing w:after="0" w:line="20" w:lineRule="exact"/>
        <w:rPr>
          <w:sz w:val="20"/>
          <w:szCs w:val="20"/>
          <w:color w:val="auto"/>
        </w:rPr>
      </w:pPr>
      <w:r>
        <w:rPr>
          <w:sz w:val="20"/>
          <w:szCs w:val="20"/>
          <w:color w:val="auto"/>
        </w:rPr>
        <w:br w:type="column"/>
      </w:r>
    </w:p>
    <w:p>
      <w:pPr>
        <w:spacing w:after="0" w:line="163" w:lineRule="exact"/>
        <w:rPr>
          <w:sz w:val="20"/>
          <w:szCs w:val="20"/>
          <w:color w:val="auto"/>
        </w:rPr>
      </w:pPr>
    </w:p>
    <w:p>
      <w:pPr>
        <w:jc w:val="both"/>
        <w:ind w:firstLine="193"/>
        <w:spacing w:after="0" w:line="290" w:lineRule="auto"/>
        <w:rPr>
          <w:sz w:val="20"/>
          <w:szCs w:val="20"/>
          <w:color w:val="auto"/>
        </w:rPr>
      </w:pPr>
      <w:r>
        <w:rPr>
          <w:rFonts w:ascii="Times New Roman" w:cs="Times New Roman" w:eastAsia="Times New Roman" w:hAnsi="Times New Roman"/>
          <w:sz w:val="19"/>
          <w:szCs w:val="19"/>
          <w:color w:val="auto"/>
        </w:rPr>
        <w:t>The mechanisms of tight oil charging, migration and accumulation in continental lake basins have three characteristics: (1) The power of hydrocarbon generation and expulsion from high-quality source rocks is the dy-namic foundation that determines the efficiency of charging and accumulation effect of tight oil. (2) The oil migration resistance is the critical factor that influences the efficiency of charging and accumulation of tight oil.</w:t>
      </w:r>
    </w:p>
    <w:p>
      <w:pPr>
        <w:spacing w:after="0" w:line="24" w:lineRule="exact"/>
        <w:rPr>
          <w:sz w:val="20"/>
          <w:szCs w:val="20"/>
          <w:color w:val="auto"/>
        </w:rPr>
      </w:pPr>
    </w:p>
    <w:p>
      <w:pPr>
        <w:spacing w:after="0" w:line="272" w:lineRule="auto"/>
        <w:tabs>
          <w:tab w:leader="none" w:pos="292"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coupling of charging force and pore-throat resis-tance controls the sweet spot accumulation of tight oil.</w:t>
      </w:r>
    </w:p>
    <w:p>
      <w:pPr>
        <w:spacing w:after="0" w:line="38" w:lineRule="exact"/>
        <w:rPr>
          <w:rFonts w:ascii="Times New Roman" w:cs="Times New Roman" w:eastAsia="Times New Roman" w:hAnsi="Times New Roman"/>
          <w:sz w:val="19"/>
          <w:szCs w:val="19"/>
          <w:color w:val="auto"/>
        </w:rPr>
      </w:pPr>
    </w:p>
    <w:p>
      <w:pPr>
        <w:jc w:val="both"/>
        <w:ind w:firstLine="193"/>
        <w:spacing w:after="0" w:line="29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dynamic mechanisms of charging, migration effi-ciency and accumulation effect of tight oil, that is, oil saturation and enrichment, are controlled by three factors: the coupling of charging power and resistance, effective migration system, and good storage and accumulation space. The charging power is from hydrocarbon genera-tion and expulsion pressurization. The resistance is re-lated to reservoir porosity and permeability which also controls reservoir space, oil accumulation and oil volume.</w:t>
      </w:r>
    </w:p>
    <w:p>
      <w:pPr>
        <w:spacing w:after="0" w:line="26" w:lineRule="exact"/>
        <w:rPr>
          <w:rFonts w:ascii="Times New Roman" w:cs="Times New Roman" w:eastAsia="Times New Roman" w:hAnsi="Times New Roman"/>
          <w:sz w:val="19"/>
          <w:szCs w:val="19"/>
          <w:color w:val="auto"/>
        </w:rPr>
      </w:pPr>
    </w:p>
    <w:p>
      <w:pPr>
        <w:jc w:val="both"/>
        <w:ind w:firstLine="193"/>
        <w:spacing w:after="0" w:line="28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Tight oil enrichment and saturation in continental lake basins are controlled by source rock, reservoir pore and throat sizes, structural anisotropy and fractures: (1) High quality source rocks control tight oil distribution near source; (2) Reservoir physical properties and pore and throat sizes are in positive correlation with tight oil en-richment degree; (3) Anisotropy of reservoir structure reveals that the parallel migration rate is the highest; (4) Intralayer fractures improve oil migration and accumu-lation efficiency and the oil saturation.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-3310255</wp:posOffset>
            </wp:positionH>
            <wp:positionV relativeFrom="paragraph">
              <wp:posOffset>186690</wp:posOffset>
            </wp:positionV>
            <wp:extent cx="6337300" cy="31007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extLst>
                    </a:blip>
                    <a:srcRect/>
                    <a:stretch>
                      <a:fillRect/>
                    </a:stretch>
                  </pic:blipFill>
                  <pic:spPr bwMode="auto">
                    <a:xfrm>
                      <a:off x="0" y="0"/>
                      <a:ext cx="6337300" cy="3100705"/>
                    </a:xfrm>
                    <a:prstGeom prst="rect">
                      <a:avLst/>
                    </a:prstGeom>
                    <a:noFill/>
                  </pic:spPr>
                </pic:pic>
              </a:graphicData>
            </a:graphic>
          </wp:anchor>
        </w:drawing>
      </w:r>
    </w:p>
    <w:p>
      <w:pPr>
        <w:spacing w:after="0" w:line="200"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line="296" w:lineRule="auto"/>
        <w:rPr>
          <w:sz w:val="20"/>
          <w:szCs w:val="20"/>
          <w:color w:val="auto"/>
        </w:rPr>
      </w:pPr>
      <w:r>
        <w:rPr>
          <w:rFonts w:ascii="Arial" w:cs="Arial" w:eastAsia="Arial" w:hAnsi="Arial"/>
          <w:sz w:val="17"/>
          <w:szCs w:val="17"/>
          <w:b w:val="1"/>
          <w:bCs w:val="1"/>
          <w:color w:val="auto"/>
        </w:rPr>
        <w:t>Fig. 11. Relationship between cumulative production and fracture development of single oil wells in G oilfield (according to Ref. [9]).</w:t>
      </w: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556</w:t>
      </w:r>
    </w:p>
    <w:p>
      <w:pPr>
        <w:sectPr>
          <w:pgSz w:w="11900" w:h="16840" w:orient="portrait"/>
          <w:cols w:equalWidth="0" w:num="1">
            <w:col w:w="9980"/>
          </w:cols>
          <w:pgMar w:left="960" w:top="1015" w:right="964" w:bottom="411" w:gutter="0" w:footer="0" w:header="0"/>
          <w:type w:val="continuous"/>
        </w:sectPr>
      </w:pPr>
    </w:p>
    <w:bookmarkStart w:id="10" w:name="page11"/>
    <w:bookmarkEnd w:id="10"/>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HU Suyun et al. / Petroleum Exploration and Development, 2023, 50(3): 547–557</w:t>
      </w:r>
    </w:p>
    <w:p>
      <w:pPr>
        <w:sectPr>
          <w:pgSz w:w="11900" w:h="16840" w:orient="portrait"/>
          <w:cols w:equalWidth="0" w:num="1">
            <w:col w:w="9980"/>
          </w:cols>
          <w:pgMar w:left="960" w:top="1015" w:right="964" w:bottom="411" w:gutter="0" w:footer="0" w:header="0"/>
        </w:sectPr>
      </w:pP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Acknowledgments</w:t>
      </w:r>
    </w:p>
    <w:p>
      <w:pPr>
        <w:spacing w:after="0" w:line="176" w:lineRule="exact"/>
        <w:rPr>
          <w:sz w:val="20"/>
          <w:szCs w:val="20"/>
          <w:color w:val="auto"/>
        </w:rPr>
      </w:pPr>
    </w:p>
    <w:p>
      <w:pPr>
        <w:jc w:val="both"/>
        <w:ind w:firstLine="193"/>
        <w:spacing w:after="0" w:line="275" w:lineRule="auto"/>
        <w:rPr>
          <w:sz w:val="20"/>
          <w:szCs w:val="20"/>
          <w:color w:val="auto"/>
        </w:rPr>
      </w:pPr>
      <w:r>
        <w:rPr>
          <w:rFonts w:ascii="Times New Roman" w:cs="Times New Roman" w:eastAsia="Times New Roman" w:hAnsi="Times New Roman"/>
          <w:sz w:val="19"/>
          <w:szCs w:val="19"/>
          <w:color w:val="auto"/>
        </w:rPr>
        <w:t>We thank Zheng Min, Wang Xiaoqi, Wu Songtao, Wang Lan, Meng Yuanlin, Liu Hongyuan, Xiao Lihua and other experts for their help during the writing of this paper.</w:t>
      </w: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References</w:t>
      </w:r>
    </w:p>
    <w:p>
      <w:pPr>
        <w:spacing w:after="0" w:line="310" w:lineRule="exact"/>
        <w:rPr>
          <w:sz w:val="20"/>
          <w:szCs w:val="20"/>
          <w:color w:val="auto"/>
        </w:rPr>
      </w:pPr>
    </w:p>
    <w:p>
      <w:pPr>
        <w:jc w:val="both"/>
        <w:ind w:left="480" w:hanging="414"/>
        <w:spacing w:after="0" w:line="274" w:lineRule="auto"/>
        <w:tabs>
          <w:tab w:leader="none" w:pos="48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HU Suyun, ZHU Rukai, WU Songtao, et al. Profitable ex-ploration and development of continental tight oil in China. Petroleum Exploration and Development, 2018, 45(4): 737–748.</w:t>
      </w:r>
    </w:p>
    <w:p>
      <w:pPr>
        <w:spacing w:after="0" w:line="27" w:lineRule="exact"/>
        <w:rPr>
          <w:rFonts w:ascii="Times New Roman" w:cs="Times New Roman" w:eastAsia="Times New Roman" w:hAnsi="Times New Roman"/>
          <w:sz w:val="17"/>
          <w:szCs w:val="17"/>
          <w:color w:val="auto"/>
        </w:rPr>
      </w:pPr>
    </w:p>
    <w:p>
      <w:pPr>
        <w:jc w:val="both"/>
        <w:ind w:left="480" w:hanging="414"/>
        <w:spacing w:after="0" w:line="279" w:lineRule="auto"/>
        <w:tabs>
          <w:tab w:leader="none" w:pos="48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JIA Chengzao. Breakthrough and significance of uncon-ventional oil and gas to classical petroleum geological theory. Petroleum Exploration and Development, 2017, 44(1): 1–11.</w:t>
      </w:r>
    </w:p>
    <w:p>
      <w:pPr>
        <w:spacing w:after="0" w:line="238" w:lineRule="exact"/>
        <w:rPr>
          <w:rFonts w:ascii="Times New Roman" w:cs="Times New Roman" w:eastAsia="Times New Roman" w:hAnsi="Times New Roman"/>
          <w:sz w:val="17"/>
          <w:szCs w:val="17"/>
          <w:color w:val="auto"/>
        </w:rPr>
      </w:pPr>
    </w:p>
    <w:p>
      <w:pPr>
        <w:jc w:val="both"/>
        <w:ind w:left="480" w:hanging="414"/>
        <w:spacing w:after="0" w:line="271" w:lineRule="auto"/>
        <w:tabs>
          <w:tab w:leader="none" w:pos="48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DU Jinhu, HE Haiqing, YANG Tao, et al. Progress in China’s tight oil exploration and challenges. China Petro-leum Exploration, 2014, 19(1): 1–9.</w:t>
      </w:r>
    </w:p>
    <w:p>
      <w:pPr>
        <w:spacing w:after="0" w:line="27" w:lineRule="exact"/>
        <w:rPr>
          <w:rFonts w:ascii="Times New Roman" w:cs="Times New Roman" w:eastAsia="Times New Roman" w:hAnsi="Times New Roman"/>
          <w:sz w:val="17"/>
          <w:szCs w:val="17"/>
          <w:color w:val="auto"/>
        </w:rPr>
      </w:pPr>
    </w:p>
    <w:p>
      <w:pPr>
        <w:jc w:val="both"/>
        <w:ind w:left="480" w:hanging="414"/>
        <w:spacing w:after="0" w:line="274" w:lineRule="auto"/>
        <w:tabs>
          <w:tab w:leader="none" w:pos="481"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MA Yongsheng, FENG Jianhui, MU Zehui, et al. The po-tential and exploring progress of unconventional hydro-carbon resources in Sinopec. Strategic Study of CAE, 2012, 14(6): 22–30.</w:t>
      </w:r>
    </w:p>
    <w:p>
      <w:pPr>
        <w:spacing w:after="0" w:line="26" w:lineRule="exact"/>
        <w:rPr>
          <w:rFonts w:ascii="Times New Roman" w:cs="Times New Roman" w:eastAsia="Times New Roman" w:hAnsi="Times New Roman"/>
          <w:sz w:val="17"/>
          <w:szCs w:val="17"/>
          <w:color w:val="auto"/>
        </w:rPr>
      </w:pPr>
    </w:p>
    <w:p>
      <w:pPr>
        <w:jc w:val="both"/>
        <w:ind w:left="480" w:hanging="414"/>
        <w:spacing w:after="0" w:line="274" w:lineRule="auto"/>
        <w:tabs>
          <w:tab w:leader="none" w:pos="48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JIA Chengzao, ZOU Caineng, YANG Zhi, et al. Significant progress of continental petroleum geology theory in ba-sins of Central and Western China. Petroleum Exploration and Development, 2018, 45(4): 546–560.</w:t>
      </w:r>
    </w:p>
    <w:p>
      <w:pPr>
        <w:spacing w:after="0" w:line="27" w:lineRule="exact"/>
        <w:rPr>
          <w:rFonts w:ascii="Times New Roman" w:cs="Times New Roman" w:eastAsia="Times New Roman" w:hAnsi="Times New Roman"/>
          <w:sz w:val="17"/>
          <w:szCs w:val="17"/>
          <w:color w:val="auto"/>
        </w:rPr>
      </w:pPr>
    </w:p>
    <w:p>
      <w:pPr>
        <w:jc w:val="both"/>
        <w:ind w:left="480" w:hanging="414"/>
        <w:spacing w:after="0" w:line="274" w:lineRule="auto"/>
        <w:tabs>
          <w:tab w:leader="none" w:pos="48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HU Suyun, TAO Shizhen, YAN Weipeng, et al. Advances on continental tight oil accumulation and key technolo-gies for exploration and development in China. Natural Gas Geoscience, 2019, 30(8): 1083–1093.</w:t>
      </w:r>
    </w:p>
    <w:p>
      <w:pPr>
        <w:spacing w:after="0" w:line="27" w:lineRule="exact"/>
        <w:rPr>
          <w:rFonts w:ascii="Times New Roman" w:cs="Times New Roman" w:eastAsia="Times New Roman" w:hAnsi="Times New Roman"/>
          <w:sz w:val="17"/>
          <w:szCs w:val="17"/>
          <w:color w:val="auto"/>
        </w:rPr>
      </w:pPr>
    </w:p>
    <w:p>
      <w:pPr>
        <w:jc w:val="both"/>
        <w:ind w:left="480" w:hanging="414"/>
        <w:spacing w:after="0" w:line="276" w:lineRule="auto"/>
        <w:tabs>
          <w:tab w:leader="none" w:pos="48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KUANG Lichun, TANG Yong, LEI Dewen, et al. Formation conditions and exploration potential of tight oil in the Permian saline lacustrine dolomitic rock, Junggar Basin, NW China. Petroleum Exploration and Development, 2012, 39(6): 657–667.</w:t>
      </w:r>
    </w:p>
    <w:p>
      <w:pPr>
        <w:spacing w:after="0" w:line="25" w:lineRule="exact"/>
        <w:rPr>
          <w:rFonts w:ascii="Times New Roman" w:cs="Times New Roman" w:eastAsia="Times New Roman" w:hAnsi="Times New Roman"/>
          <w:sz w:val="17"/>
          <w:szCs w:val="17"/>
          <w:color w:val="auto"/>
        </w:rPr>
      </w:pPr>
    </w:p>
    <w:p>
      <w:pPr>
        <w:jc w:val="both"/>
        <w:ind w:left="480" w:hanging="414"/>
        <w:spacing w:after="0" w:line="271" w:lineRule="auto"/>
        <w:tabs>
          <w:tab w:leader="none" w:pos="48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YANG Hua, LI Shixiang, LIU Xianyang. Characteristics and resource prospects of tight oil and shale oil in Ordos Basin. Acta Petrolei Sinica, 2013, 34(1): 1–11.</w:t>
      </w:r>
    </w:p>
    <w:p>
      <w:pPr>
        <w:spacing w:after="0" w:line="27" w:lineRule="exact"/>
        <w:rPr>
          <w:rFonts w:ascii="Times New Roman" w:cs="Times New Roman" w:eastAsia="Times New Roman" w:hAnsi="Times New Roman"/>
          <w:sz w:val="17"/>
          <w:szCs w:val="17"/>
          <w:color w:val="auto"/>
        </w:rPr>
      </w:pPr>
    </w:p>
    <w:p>
      <w:pPr>
        <w:jc w:val="both"/>
        <w:ind w:left="480" w:hanging="414"/>
        <w:spacing w:after="0" w:line="274" w:lineRule="auto"/>
        <w:tabs>
          <w:tab w:leader="none" w:pos="48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YANG Yueming, YANG Jiajing, YANG Guang, et al. New research progress of Jurassic tight oil in central Sichuan Basin. Petroleum Exploration and Development, 2016, 43(6): 873–882.</w:t>
      </w:r>
    </w:p>
    <w:p>
      <w:pPr>
        <w:spacing w:after="0" w:line="27" w:lineRule="exact"/>
        <w:rPr>
          <w:rFonts w:ascii="Times New Roman" w:cs="Times New Roman" w:eastAsia="Times New Roman" w:hAnsi="Times New Roman"/>
          <w:sz w:val="17"/>
          <w:szCs w:val="17"/>
          <w:color w:val="auto"/>
        </w:rPr>
      </w:pPr>
    </w:p>
    <w:p>
      <w:pPr>
        <w:jc w:val="both"/>
        <w:ind w:left="480" w:hanging="414"/>
        <w:spacing w:after="0" w:line="276" w:lineRule="auto"/>
        <w:tabs>
          <w:tab w:leader="none" w:pos="479"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LIU Bo, SUN Jiahui, ZHANG Yongqing, et al. Reservoir space and enrichment model of shale oil in the first member of Cretaceous Qingshankou Formation in the Changling Sag, southern Songliao Basin, NE China. Petroleum Ex-ploration and Development, 2021, 48(3): 521–535.</w:t>
      </w:r>
    </w:p>
    <w:p>
      <w:pPr>
        <w:spacing w:after="0" w:line="25" w:lineRule="exact"/>
        <w:rPr>
          <w:rFonts w:ascii="Times New Roman" w:cs="Times New Roman" w:eastAsia="Times New Roman" w:hAnsi="Times New Roman"/>
          <w:sz w:val="17"/>
          <w:szCs w:val="17"/>
          <w:color w:val="auto"/>
        </w:rPr>
      </w:pPr>
    </w:p>
    <w:p>
      <w:pPr>
        <w:jc w:val="both"/>
        <w:ind w:left="480" w:hanging="414"/>
        <w:spacing w:after="0" w:line="274" w:lineRule="auto"/>
        <w:tabs>
          <w:tab w:leader="none" w:pos="479"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CHEN Xuan, LIU Juntian, FENG Yaqin, et al. Geological conditions and enrichment factors of tuff's tight oil in volcanic lake facies, Tiaohu Formation of Santanghu Ba-sin. Xinjiang Geology, 2018, 36(2): 246–251.</w:t>
      </w:r>
    </w:p>
    <w:p>
      <w:pPr>
        <w:spacing w:after="0" w:line="27" w:lineRule="exact"/>
        <w:rPr>
          <w:rFonts w:ascii="Times New Roman" w:cs="Times New Roman" w:eastAsia="Times New Roman" w:hAnsi="Times New Roman"/>
          <w:sz w:val="17"/>
          <w:szCs w:val="17"/>
          <w:color w:val="auto"/>
        </w:rPr>
      </w:pPr>
    </w:p>
    <w:p>
      <w:pPr>
        <w:jc w:val="both"/>
        <w:ind w:left="480" w:hanging="414"/>
        <w:spacing w:after="0" w:line="259" w:lineRule="auto"/>
        <w:tabs>
          <w:tab w:leader="none" w:pos="48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WANG Yuan, WANG Shaoyong, LI Jianzhong, et al. The hydrocarbon expulsion efficiency of medium-low mature</w:t>
      </w:r>
    </w:p>
    <w:p>
      <w:pPr>
        <w:spacing w:after="0" w:line="37" w:lineRule="exact"/>
        <w:rPr>
          <w:rFonts w:ascii="Times New Roman" w:cs="Times New Roman" w:eastAsia="Times New Roman" w:hAnsi="Times New Roman"/>
          <w:sz w:val="17"/>
          <w:szCs w:val="17"/>
          <w:color w:val="auto"/>
        </w:rPr>
      </w:pPr>
    </w:p>
    <w:p>
      <w:pPr>
        <w:jc w:val="both"/>
        <w:ind w:left="480"/>
        <w:spacing w:after="0" w:line="256"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source rocks and tight-shale oil potential in the Es</w:t>
      </w:r>
      <w:r>
        <w:rPr>
          <w:rFonts w:ascii="Times New Roman" w:cs="Times New Roman" w:eastAsia="Times New Roman" w:hAnsi="Times New Roman"/>
          <w:sz w:val="19"/>
          <w:szCs w:val="19"/>
          <w:color w:val="auto"/>
          <w:vertAlign w:val="superscript"/>
        </w:rPr>
        <w:t>4</w:t>
      </w:r>
      <w:r>
        <w:rPr>
          <w:rFonts w:ascii="Times New Roman" w:cs="Times New Roman" w:eastAsia="Times New Roman" w:hAnsi="Times New Roman"/>
          <w:sz w:val="17"/>
          <w:szCs w:val="17"/>
          <w:color w:val="auto"/>
        </w:rPr>
        <w:t>, Leijia area in West Depression, Liaohe Basin. Oil &amp; Gas Geology, 2019, 40(4): 810–821.</w:t>
      </w:r>
    </w:p>
    <w:p>
      <w:pPr>
        <w:spacing w:after="0" w:line="39" w:lineRule="exact"/>
        <w:rPr>
          <w:rFonts w:ascii="Times New Roman" w:cs="Times New Roman" w:eastAsia="Times New Roman" w:hAnsi="Times New Roman"/>
          <w:sz w:val="17"/>
          <w:szCs w:val="17"/>
          <w:color w:val="auto"/>
        </w:rPr>
      </w:pPr>
    </w:p>
    <w:p>
      <w:pPr>
        <w:jc w:val="both"/>
        <w:ind w:left="480" w:hanging="414"/>
        <w:spacing w:after="0" w:line="256" w:lineRule="auto"/>
        <w:tabs>
          <w:tab w:leader="none" w:pos="479"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TIAN Mingzhi, LIU Zhanguo, SONG Guangyong, et al. Identification and prediction of effective source rocks for</w:t>
      </w:r>
    </w:p>
    <w:p>
      <w:pPr>
        <w:spacing w:after="0" w:line="20" w:lineRule="exact"/>
        <w:rPr>
          <w:sz w:val="20"/>
          <w:szCs w:val="20"/>
          <w:color w:val="auto"/>
        </w:rPr>
      </w:pPr>
      <w:r>
        <w:rPr>
          <w:sz w:val="20"/>
          <w:szCs w:val="20"/>
          <w:color w:val="auto"/>
        </w:rPr>
        <w:br w:type="column"/>
      </w:r>
    </w:p>
    <w:p>
      <w:pPr>
        <w:spacing w:after="0" w:line="300" w:lineRule="exact"/>
        <w:rPr>
          <w:sz w:val="20"/>
          <w:szCs w:val="20"/>
          <w:color w:val="auto"/>
        </w:rPr>
      </w:pPr>
    </w:p>
    <w:p>
      <w:pPr>
        <w:ind w:left="418"/>
        <w:spacing w:after="0" w:line="256" w:lineRule="auto"/>
        <w:rPr>
          <w:sz w:val="20"/>
          <w:szCs w:val="20"/>
          <w:color w:val="auto"/>
        </w:rPr>
      </w:pPr>
      <w:r>
        <w:rPr>
          <w:rFonts w:ascii="Times New Roman" w:cs="Times New Roman" w:eastAsia="Times New Roman" w:hAnsi="Times New Roman"/>
          <w:sz w:val="17"/>
          <w:szCs w:val="17"/>
          <w:color w:val="auto"/>
        </w:rPr>
        <w:t>tight oil in Zhahaquan area, Qaidam Basin. Xinjiang Pe-troleum Geology, 2019, 40(5): 536–542.</w:t>
      </w:r>
    </w:p>
    <w:p>
      <w:pPr>
        <w:spacing w:after="0" w:line="37" w:lineRule="exact"/>
        <w:rPr>
          <w:sz w:val="20"/>
          <w:szCs w:val="20"/>
          <w:color w:val="auto"/>
        </w:rPr>
      </w:pPr>
    </w:p>
    <w:p>
      <w:pPr>
        <w:jc w:val="both"/>
        <w:ind w:left="418" w:hanging="418"/>
        <w:spacing w:after="0" w:line="271" w:lineRule="auto"/>
        <w:tabs>
          <w:tab w:leader="none" w:pos="417"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ZOU Caineng, ZHU Rukai, BAI Bin, et al. Significance, geologic characteristics, resource potential and future challenges of tight oil and shale oil. Bulletin of Mineral-ogy, Petrology and Geochemistry, 2015, 34(1): 3–17.</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267" w:lineRule="auto"/>
        <w:tabs>
          <w:tab w:leader="none" w:pos="416"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ZHU Rukai, ZOU Caineng, WU Songtao, et al. Mechanism for generation and accumulation of continental tight oil in China. Oil &amp; Gas Geology, 2019, 40(6): 1168–1184.</w:t>
      </w:r>
    </w:p>
    <w:p>
      <w:pPr>
        <w:spacing w:after="0" w:line="27" w:lineRule="exact"/>
        <w:rPr>
          <w:rFonts w:ascii="Times New Roman" w:cs="Times New Roman" w:eastAsia="Times New Roman" w:hAnsi="Times New Roman"/>
          <w:sz w:val="17"/>
          <w:szCs w:val="17"/>
          <w:color w:val="auto"/>
        </w:rPr>
      </w:pPr>
    </w:p>
    <w:p>
      <w:pPr>
        <w:jc w:val="both"/>
        <w:ind w:left="418" w:hanging="418"/>
        <w:spacing w:after="0" w:line="271" w:lineRule="auto"/>
        <w:tabs>
          <w:tab w:leader="none" w:pos="417"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JIA Chengzao, ZOU Caineng, LI Jianzhong, et al. Assess-ment criteria, main types, basic features and resource prospects of the tight oil in China. Acta Petrolei Sinica, 2012, 33(3): 343–350.</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271" w:lineRule="auto"/>
        <w:tabs>
          <w:tab w:leader="none" w:pos="418"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PANG Zhenglian, TAO Shizhen, ZHANG Qin, et al. Sec-ondary migration mechanism and accumulation control-ling factors of Jurassic tight oil in Sichuan Basin. Acta Petrolei Sinica, 2018, 39(11): 1211–1222.</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271" w:lineRule="auto"/>
        <w:tabs>
          <w:tab w:leader="none" w:pos="417"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SONG Yan, LUO Qun, JIANG Zhenxue, et al. Enrichment of tight oil and its controlling factors in central and western China. Petroleum Exploration and Development, 2021, 48(2): 421–433.</w:t>
      </w:r>
    </w:p>
    <w:p>
      <w:pPr>
        <w:spacing w:after="0" w:line="24" w:lineRule="exact"/>
        <w:rPr>
          <w:rFonts w:ascii="Times New Roman" w:cs="Times New Roman" w:eastAsia="Times New Roman" w:hAnsi="Times New Roman"/>
          <w:sz w:val="17"/>
          <w:szCs w:val="17"/>
          <w:color w:val="auto"/>
        </w:rPr>
      </w:pPr>
    </w:p>
    <w:p>
      <w:pPr>
        <w:jc w:val="both"/>
        <w:ind w:left="418" w:hanging="418"/>
        <w:spacing w:after="0" w:line="271" w:lineRule="auto"/>
        <w:tabs>
          <w:tab w:leader="none" w:pos="417"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MA Hong, LI Jianzhong, YANG Tao, et al. Main control-ling factors for tight oil accumulation in continental lacustrine basins in China. Petroleum Geology and Ex-periment, 2014, 36(6): 668–677.</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271" w:lineRule="auto"/>
        <w:tabs>
          <w:tab w:leader="none" w:pos="417"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ZHOU Nengwu, LU Shuangfang, WANG Min, et al. Limits and grading evaluation criteria of tight oil reservoirs in typical continental basins of China. Petroleum Explora-tion and Development, 2021, 48(5): 939–949.</w:t>
      </w:r>
    </w:p>
    <w:p>
      <w:pPr>
        <w:spacing w:after="0" w:line="24" w:lineRule="exact"/>
        <w:rPr>
          <w:rFonts w:ascii="Times New Roman" w:cs="Times New Roman" w:eastAsia="Times New Roman" w:hAnsi="Times New Roman"/>
          <w:sz w:val="17"/>
          <w:szCs w:val="17"/>
          <w:color w:val="auto"/>
        </w:rPr>
      </w:pPr>
    </w:p>
    <w:p>
      <w:pPr>
        <w:jc w:val="both"/>
        <w:ind w:left="418" w:hanging="418"/>
        <w:spacing w:after="0" w:line="268" w:lineRule="auto"/>
        <w:tabs>
          <w:tab w:leader="none" w:pos="417"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ZOU Caineng, TAO Shizhen, HOU Lianhua, et al. Uncon-ventional oil and gas geology. Beijing: Geological Pub-lishing House, 2014: 247–254.</w:t>
      </w:r>
    </w:p>
    <w:p>
      <w:pPr>
        <w:spacing w:after="0" w:line="29" w:lineRule="exact"/>
        <w:rPr>
          <w:rFonts w:ascii="Times New Roman" w:cs="Times New Roman" w:eastAsia="Times New Roman" w:hAnsi="Times New Roman"/>
          <w:sz w:val="17"/>
          <w:szCs w:val="17"/>
          <w:color w:val="auto"/>
        </w:rPr>
      </w:pPr>
    </w:p>
    <w:p>
      <w:pPr>
        <w:jc w:val="both"/>
        <w:ind w:left="418" w:hanging="418"/>
        <w:spacing w:after="0" w:line="272" w:lineRule="auto"/>
        <w:tabs>
          <w:tab w:leader="none" w:pos="418"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TAO Shizhen, YANG Yueming, PANG Zhenglian, et al. The fluid inclusion characteristics and formation, evolution of tight oil of Jurassic, Sichuan Basin. Acta Petrologica Sinica, 2015, 31(4): 1089–1100.</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272" w:lineRule="auto"/>
        <w:tabs>
          <w:tab w:leader="none" w:pos="417"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ZOU Caineng, YANG Zhi, ZHU Rukai, et al. Progress in China’s unconventional oil &amp; gas exploration and de-velopment and theoretical technologies. Acta Geologica Sinica, 2015, 89(6): 979–1007.</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272" w:lineRule="auto"/>
        <w:tabs>
          <w:tab w:leader="none" w:pos="418"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WANG M, GUAN Y, ZHANG J X, et al. Oil charging model and controlling factors revealed by an online nuclear magnetic resonance (NMR) system. Marine and Petro-leum Geology, 2020, 118: 104442.</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272" w:lineRule="auto"/>
        <w:tabs>
          <w:tab w:leader="none" w:pos="417"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TANG M M, LU S F, ZHAN H B, et al. The effect of a mi-croscale fracture on dynamic capillary pressure of two-phase flow in porous media. Advances in Water Re-sources, 2018, 113: 272–284.</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268" w:lineRule="auto"/>
        <w:tabs>
          <w:tab w:leader="none" w:pos="418"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TANG M M, ZHAN H B, MA H F, et al. Upscaling of dy-namic capillary pressure of two-phase flow in sandstone. Water Resources Research, 2019, 55(1): 426–443.</w:t>
      </w:r>
    </w:p>
    <w:p>
      <w:pPr>
        <w:spacing w:after="0" w:line="29" w:lineRule="exact"/>
        <w:rPr>
          <w:rFonts w:ascii="Times New Roman" w:cs="Times New Roman" w:eastAsia="Times New Roman" w:hAnsi="Times New Roman"/>
          <w:sz w:val="17"/>
          <w:szCs w:val="17"/>
          <w:color w:val="auto"/>
        </w:rPr>
      </w:pPr>
    </w:p>
    <w:p>
      <w:pPr>
        <w:jc w:val="both"/>
        <w:ind w:left="418" w:hanging="418"/>
        <w:spacing w:after="0" w:line="274" w:lineRule="auto"/>
        <w:tabs>
          <w:tab w:leader="none" w:pos="418"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ZOU Caineng, ZHU Rukai, WU Songtao, et al. Types, characteristics, genesis and prospects of conventional and unconventional hydrocarbon accumulations: Taking tight oil and tight gas in China as an instance. Acta Petrolei Sinica, 2012, 33(2): 173–187.</w:t>
      </w:r>
    </w:p>
    <w:p>
      <w:pPr>
        <w:spacing w:after="0" w:line="24" w:lineRule="exact"/>
        <w:rPr>
          <w:rFonts w:ascii="Times New Roman" w:cs="Times New Roman" w:eastAsia="Times New Roman" w:hAnsi="Times New Roman"/>
          <w:sz w:val="17"/>
          <w:szCs w:val="17"/>
          <w:color w:val="auto"/>
        </w:rPr>
      </w:pPr>
    </w:p>
    <w:p>
      <w:pPr>
        <w:jc w:val="both"/>
        <w:ind w:left="418" w:hanging="418"/>
        <w:spacing w:after="0" w:line="272" w:lineRule="auto"/>
        <w:tabs>
          <w:tab w:leader="none" w:pos="417"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 Denghua, LI Jianzhong, ZHANG Bin, et al. Formation condition, resource potential and sweet-spot area predic-tion of Jurassic tight oil in Sichuan Basin. Acta Petrolei Sinica, 2017, 38(7): 740–752.</w:t>
      </w:r>
    </w:p>
    <w:p>
      <w:pPr>
        <w:spacing w:after="0" w:line="202" w:lineRule="exact"/>
        <w:rPr>
          <w:sz w:val="20"/>
          <w:szCs w:val="20"/>
          <w:color w:val="auto"/>
        </w:rPr>
      </w:pPr>
    </w:p>
    <w:p>
      <w:pPr>
        <w:sectPr>
          <w:pgSz w:w="11900" w:h="16840" w:orient="portrait"/>
          <w:cols w:equalWidth="0" w:num="2">
            <w:col w:w="4760" w:space="522"/>
            <w:col w:w="4698"/>
          </w:cols>
          <w:pgMar w:left="960" w:top="1015" w:right="964" w:bottom="411" w:gutter="0" w:footer="0" w:header="0"/>
          <w:type w:val="continuous"/>
        </w:sectPr>
      </w:pPr>
    </w:p>
    <w:p>
      <w:pPr>
        <w:spacing w:after="0" w:line="31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557</w:t>
      </w:r>
    </w:p>
    <w:sectPr>
      <w:pgSz w:w="11900" w:h="16840" w:orient="portrait"/>
      <w:cols w:equalWidth="0" w:num="1">
        <w:col w:w="9980"/>
      </w:cols>
      <w:pgMar w:left="960" w:top="1015" w:right="964" w:bottom="41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
      <w:numFmt w:val="bullet"/>
      <w:start w:val="1"/>
    </w:lvl>
  </w:abstractNum>
  <w:abstractNum w:abstractNumId="2">
    <w:nsid w:val="2EB141F2"/>
    <w:multiLevelType w:val="hybridMultilevel"/>
    <w:lvl w:ilvl="0">
      <w:lvlJc w:val="left"/>
      <w:lvlText w:val="%1."/>
      <w:numFmt w:val="decimal"/>
      <w:start w:val="1"/>
    </w:lvl>
  </w:abstractNum>
  <w:abstractNum w:abstractNumId="3">
    <w:nsid w:val="41B71EFB"/>
    <w:multiLevelType w:val="hybridMultilevel"/>
    <w:lvl w:ilvl="0">
      <w:lvlJc w:val="left"/>
      <w:lvlText w:val="%1."/>
      <w:numFmt w:val="decimal"/>
      <w:start w:val="2"/>
    </w:lvl>
  </w:abstractNum>
  <w:abstractNum w:abstractNumId="4">
    <w:nsid w:val="79E2A9E3"/>
    <w:multiLevelType w:val="hybridMultilevel"/>
    <w:lvl w:ilvl="0">
      <w:lvlJc w:val="left"/>
      <w:lvlText w:val="%1."/>
      <w:numFmt w:val="decimal"/>
      <w:start w:val="2"/>
    </w:lvl>
  </w:abstractNum>
  <w:abstractNum w:abstractNumId="5">
    <w:nsid w:val="7545E146"/>
    <w:multiLevelType w:val="hybridMultilevel"/>
    <w:lvl w:ilvl="0">
      <w:lvlJc w:val="left"/>
      <w:lvlText w:val="%1."/>
      <w:numFmt w:val="decimal"/>
      <w:start w:val="3"/>
    </w:lvl>
  </w:abstractNum>
  <w:abstractNum w:abstractNumId="6">
    <w:nsid w:val="515F007C"/>
    <w:multiLevelType w:val="hybridMultilevel"/>
    <w:lvl w:ilvl="0">
      <w:lvlJc w:val="left"/>
      <w:lvlText w:val="%1."/>
      <w:numFmt w:val="decimal"/>
      <w:start w:val="3"/>
    </w:lvl>
  </w:abstractNum>
  <w:abstractNum w:abstractNumId="7">
    <w:nsid w:val="5BD062C2"/>
    <w:multiLevelType w:val="hybridMultilevel"/>
    <w:lvl w:ilvl="0">
      <w:lvlJc w:val="left"/>
      <w:lvlText w:val="(%1)"/>
      <w:numFmt w:val="decimal"/>
      <w:start w:val="3"/>
    </w:lvl>
  </w:abstractNum>
  <w:abstractNum w:abstractNumId="8">
    <w:nsid w:val="12200854"/>
    <w:multiLevelType w:val="hybridMultilevel"/>
    <w:lvl w:ilvl="0">
      <w:lvlJc w:val="left"/>
      <w:lvlText w:val="[%1]"/>
      <w:numFmt w:val="decimal"/>
      <w:start w:val="1"/>
    </w:lvl>
  </w:abstractNum>
  <w:abstractNum w:abstractNumId="9">
    <w:nsid w:val="4DB127F8"/>
    <w:multiLevelType w:val="hybridMultilevel"/>
    <w:lvl w:ilvl="0">
      <w:lvlJc w:val="left"/>
      <w:lvlText w:val="[%1]"/>
      <w:numFmt w:val="decimal"/>
      <w:start w:val="1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2023-11-10T20:31:31Z</dcterms:created>
  <dcterms:modified xsi:type="dcterms:W3CDTF">2023-11-10T20:31:31Z</dcterms:modified>
</cp:coreProperties>
</file>