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rFonts w:ascii="Arial" w:cs="Arial" w:eastAsia="Arial" w:hAnsi="Arial"/>
          <w:sz w:val="13"/>
          <w:szCs w:val="13"/>
          <w:color w:val="007FAB"/>
        </w:rPr>
      </w:pPr>
      <w:hyperlink r:id="rId12">
        <w:r>
          <w:rPr>
            <w:rFonts w:ascii="Arial" w:cs="Arial" w:eastAsia="Arial" w:hAnsi="Arial"/>
            <w:sz w:val="13"/>
            <w:szCs w:val="13"/>
            <w:color w:val="007FAB"/>
          </w:rPr>
          <w:t>Environmental Science and Policy 76 (2017) 139–145</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169545</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56" w:lineRule="exact"/>
        <w:rPr>
          <w:sz w:val="24"/>
          <w:szCs w:val="24"/>
          <w:color w:val="auto"/>
        </w:rPr>
      </w:pPr>
    </w:p>
    <w:p>
      <w:pPr>
        <w:jc w:val="center"/>
        <w:ind w:right="-3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Contents lists available at</w:t>
      </w:r>
      <w:r>
        <w:rPr>
          <w:rFonts w:ascii="Times New Roman" w:cs="Times New Roman" w:eastAsia="Times New Roman" w:hAnsi="Times New Roman"/>
          <w:sz w:val="16"/>
          <w:szCs w:val="16"/>
          <w:color w:val="004A76"/>
        </w:rPr>
        <w:t xml:space="preserve"> </w:t>
      </w:r>
      <w:hyperlink r:id="rId14">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8"/>
          <w:szCs w:val="28"/>
          <w:color w:val="auto"/>
        </w:rPr>
        <w:t>Environmental Science and Policy</w:t>
      </w:r>
    </w:p>
    <w:p>
      <w:pPr>
        <w:spacing w:after="0" w:line="319" w:lineRule="exact"/>
        <w:rPr>
          <w:sz w:val="24"/>
          <w:szCs w:val="24"/>
          <w:color w:val="auto"/>
        </w:rPr>
      </w:pPr>
    </w:p>
    <w:p>
      <w:pPr>
        <w:jc w:val="center"/>
        <w:ind w:right="-39"/>
        <w:spacing w:after="0"/>
        <w:rPr>
          <w:rFonts w:ascii="Arial" w:cs="Arial" w:eastAsia="Arial" w:hAnsi="Arial"/>
          <w:sz w:val="16"/>
          <w:szCs w:val="16"/>
          <w:color w:val="auto"/>
        </w:rPr>
      </w:pPr>
      <w:r>
        <w:rPr>
          <w:rFonts w:ascii="Arial" w:cs="Arial" w:eastAsia="Arial" w:hAnsi="Arial"/>
          <w:sz w:val="16"/>
          <w:szCs w:val="16"/>
          <w:color w:val="auto"/>
        </w:rPr>
        <w:t>journal homepage:</w:t>
      </w:r>
      <w:r>
        <w:rPr>
          <w:rFonts w:ascii="Arial" w:cs="Arial" w:eastAsia="Arial" w:hAnsi="Arial"/>
          <w:sz w:val="16"/>
          <w:szCs w:val="16"/>
          <w:color w:val="004A76"/>
        </w:rPr>
        <w:t xml:space="preserve"> </w:t>
      </w:r>
      <w:hyperlink r:id="rId16">
        <w:r>
          <w:rPr>
            <w:rFonts w:ascii="Arial" w:cs="Arial" w:eastAsia="Arial" w:hAnsi="Arial"/>
            <w:sz w:val="16"/>
            <w:szCs w:val="16"/>
            <w:color w:val="004A76"/>
          </w:rPr>
          <w:t>www.elsevier.com/locate/envsci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101600</wp:posOffset>
                </wp:positionV>
                <wp:extent cx="6604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pt" to="519.65pt,8pt" o:allowincell="f" strokecolor="#000000" strokeweight="2.9888pt"/>
            </w:pict>
          </mc:Fallback>
        </mc:AlternateContent>
      </w:r>
    </w:p>
    <w:p>
      <w:pPr>
        <w:sectPr>
          <w:pgSz w:w="11900" w:h="15874" w:orient="portrait"/>
          <w:cols w:equalWidth="0" w:num="1">
            <w:col w:w="10400"/>
          </w:cols>
          <w:pgMar w:left="760" w:top="676" w:right="746" w:bottom="59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right="160"/>
        <w:spacing w:after="0" w:line="283" w:lineRule="auto"/>
        <w:rPr>
          <w:sz w:val="20"/>
          <w:szCs w:val="20"/>
          <w:color w:val="auto"/>
        </w:rPr>
      </w:pPr>
      <w:r>
        <w:rPr>
          <w:rFonts w:ascii="Times New Roman" w:cs="Times New Roman" w:eastAsia="Times New Roman" w:hAnsi="Times New Roman"/>
          <w:sz w:val="27"/>
          <w:szCs w:val="27"/>
          <w:color w:val="auto"/>
        </w:rPr>
        <w:t>Regulating oil and gas facility stormwater discharge: An assessment of surface impoundments, spills, and permit compliance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spacing w:after="0"/>
        <w:rPr>
          <w:rFonts w:ascii="Arial" w:cs="Arial" w:eastAsia="Arial" w:hAnsi="Arial"/>
          <w:sz w:val="19"/>
          <w:szCs w:val="19"/>
          <w:color w:val="auto"/>
        </w:rPr>
      </w:pPr>
      <w:hyperlink r:id="rId17">
        <w:r>
          <w:rPr>
            <w:rFonts w:ascii="Arial" w:cs="Arial" w:eastAsia="Arial" w:hAnsi="Arial"/>
            <w:sz w:val="19"/>
            <w:szCs w:val="19"/>
            <w:color w:val="auto"/>
          </w:rPr>
          <w:t>MARK</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-51435</wp:posOffset>
            </wp:positionH>
            <wp:positionV relativeFrom="paragraph">
              <wp:posOffset>-178435</wp:posOffset>
            </wp:positionV>
            <wp:extent cx="720725" cy="3054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720725" cy="305435"/>
                    </a:xfrm>
                    <a:prstGeom prst="rect">
                      <a:avLst/>
                    </a:prstGeom>
                    <a:noFill/>
                  </pic:spPr>
                </pic:pic>
              </a:graphicData>
            </a:graphic>
          </wp:anchor>
        </w:drawing>
      </w:r>
    </w:p>
    <w:p>
      <w:pPr>
        <w:spacing w:after="0" w:line="465" w:lineRule="exact"/>
        <w:rPr>
          <w:sz w:val="24"/>
          <w:szCs w:val="24"/>
          <w:color w:val="auto"/>
        </w:rPr>
      </w:pPr>
    </w:p>
    <w:p>
      <w:pPr>
        <w:sectPr>
          <w:pgSz w:w="11900" w:h="15874" w:orient="portrait"/>
          <w:cols w:equalWidth="0" w:num="2">
            <w:col w:w="8640" w:space="720"/>
            <w:col w:w="1040"/>
          </w:cols>
          <w:pgMar w:left="760" w:top="676" w:right="746" w:bottom="593" w:gutter="0" w:footer="0" w:header="0"/>
          <w:type w:val="continuous"/>
        </w:sectPr>
      </w:pPr>
    </w:p>
    <w:p>
      <w:pPr>
        <w:spacing w:after="0"/>
        <w:rPr>
          <w:sz w:val="20"/>
          <w:szCs w:val="20"/>
          <w:color w:val="auto"/>
        </w:rPr>
      </w:pPr>
      <w:r>
        <w:rPr>
          <w:rFonts w:ascii="Times New Roman" w:cs="Times New Roman" w:eastAsia="Times New Roman" w:hAnsi="Times New Roman"/>
          <w:sz w:val="21"/>
          <w:szCs w:val="21"/>
          <w:color w:val="auto"/>
        </w:rPr>
        <w:t>Khadeeja Abdullah , Michael Stenstrom, I.H. (Mel) Su</w:t>
      </w:r>
      <w:r>
        <w:rPr>
          <w:rFonts w:ascii="Arial" w:cs="Arial" w:eastAsia="Arial" w:hAnsi="Arial"/>
          <w:sz w:val="21"/>
          <w:szCs w:val="21"/>
          <w:color w:val="auto"/>
        </w:rPr>
        <w:t>ﬀ</w:t>
      </w:r>
      <w:r>
        <w:rPr>
          <w:rFonts w:ascii="Times New Roman" w:cs="Times New Roman" w:eastAsia="Times New Roman" w:hAnsi="Times New Roman"/>
          <w:sz w:val="21"/>
          <w:szCs w:val="21"/>
          <w:color w:val="auto"/>
        </w:rPr>
        <w:t>et, Xavier Swamikannu, Timothy Malloy</w:t>
      </w:r>
    </w:p>
    <w:p>
      <w:pPr>
        <w:spacing w:after="0" w:line="193"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color w:val="auto"/>
        </w:rPr>
        <w:t>UCLA, Environmental Science &amp; Engineering Program, Institute of the Environment and Sustainability, School of Letters and Science, Los Angeles, CA 90095, United States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128270</wp:posOffset>
                </wp:positionV>
                <wp:extent cx="6604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1pt" to="519.65pt,10.1pt" o:allowincell="f" strokecolor="#000000" strokeweight="0.2491pt"/>
            </w:pict>
          </mc:Fallback>
        </mc:AlternateContent>
      </w:r>
    </w:p>
    <w:p>
      <w:pPr>
        <w:sectPr>
          <w:pgSz w:w="11900" w:h="15874" w:orient="portrait"/>
          <w:cols w:equalWidth="0" w:num="1">
            <w:col w:w="10400"/>
          </w:cols>
          <w:pgMar w:left="760" w:top="676" w:right="746" w:bottom="593" w:gutter="0" w:footer="0" w:header="0"/>
          <w:type w:val="continuous"/>
        </w:sectPr>
      </w:pPr>
    </w:p>
    <w:p>
      <w:pPr>
        <w:spacing w:after="0" w:line="200" w:lineRule="exact"/>
        <w:rPr>
          <w:sz w:val="24"/>
          <w:szCs w:val="24"/>
          <w:color w:val="auto"/>
        </w:rPr>
      </w:pPr>
    </w:p>
    <w:p>
      <w:pPr>
        <w:spacing w:after="0" w:line="268"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106045</wp:posOffset>
                </wp:positionV>
                <wp:extent cx="16910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00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35pt" to="132.8pt,8.35pt" o:allowincell="f" strokecolor="#000000" strokeweight="0.2491pt"/>
            </w:pict>
          </mc:Fallback>
        </mc:AlternateContent>
      </w:r>
    </w:p>
    <w:p>
      <w:pPr>
        <w:spacing w:after="0" w:line="228"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Oil and gas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Stormwater runo</w:t>
      </w:r>
      <w:r>
        <w:rPr>
          <w:rFonts w:ascii="Arial" w:cs="Arial" w:eastAsia="Arial" w:hAnsi="Arial"/>
          <w:sz w:val="13"/>
          <w:szCs w:val="13"/>
          <w:color w:val="auto"/>
        </w:rPr>
        <w:t>ﬀ</w:t>
      </w:r>
    </w:p>
    <w:p>
      <w:pPr>
        <w:spacing w:after="0" w:line="21"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Clean Water Act</w:t>
      </w:r>
    </w:p>
    <w:p>
      <w:pPr>
        <w:spacing w:after="0" w:line="22" w:lineRule="exact"/>
        <w:rPr>
          <w:sz w:val="24"/>
          <w:szCs w:val="24"/>
          <w:color w:val="auto"/>
        </w:rPr>
      </w:pPr>
    </w:p>
    <w:p>
      <w:pPr>
        <w:ind w:right="240"/>
        <w:spacing w:after="0" w:line="274" w:lineRule="auto"/>
        <w:rPr>
          <w:sz w:val="20"/>
          <w:szCs w:val="20"/>
          <w:color w:val="auto"/>
        </w:rPr>
      </w:pPr>
      <w:r>
        <w:rPr>
          <w:rFonts w:ascii="Times New Roman" w:cs="Times New Roman" w:eastAsia="Times New Roman" w:hAnsi="Times New Roman"/>
          <w:sz w:val="13"/>
          <w:szCs w:val="13"/>
          <w:color w:val="auto"/>
        </w:rPr>
        <w:t>National Pollutant Discharge Elimination System</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Industrial Stormwater General Permit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8"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ABSTRACT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104775</wp:posOffset>
            </wp:positionV>
            <wp:extent cx="4500245"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4500245" cy="4763"/>
                    </a:xfrm>
                    <a:prstGeom prst="rect">
                      <a:avLst/>
                    </a:prstGeom>
                    <a:noFill/>
                  </pic:spPr>
                </pic:pic>
              </a:graphicData>
            </a:graphic>
          </wp:anchor>
        </w:drawing>
      </w:r>
    </w:p>
    <w:p>
      <w:pPr>
        <w:spacing w:after="0" w:line="212" w:lineRule="exact"/>
        <w:rPr>
          <w:sz w:val="24"/>
          <w:szCs w:val="24"/>
          <w:color w:val="auto"/>
        </w:rPr>
      </w:pPr>
    </w:p>
    <w:p>
      <w:pPr>
        <w:jc w:val="both"/>
        <w:spacing w:after="0" w:line="288" w:lineRule="auto"/>
        <w:rPr>
          <w:sz w:val="20"/>
          <w:szCs w:val="20"/>
          <w:color w:val="auto"/>
        </w:rPr>
      </w:pPr>
      <w:r>
        <w:rPr>
          <w:rFonts w:ascii="Times New Roman" w:cs="Times New Roman" w:eastAsia="Times New Roman" w:hAnsi="Times New Roman"/>
          <w:sz w:val="14"/>
          <w:szCs w:val="14"/>
          <w:color w:val="auto"/>
        </w:rPr>
        <w:t>Contaminated stormwater runo</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 from oil and gas (O &amp; G) operations can pose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threat to surface waters. The purpose of this study is to examine the extent of this threat and identify more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permitting requirements to protect surface waters. To better understand the extent of the threat, this paper identi</w:t>
      </w:r>
      <w:r>
        <w:rPr>
          <w:rFonts w:ascii="Arial" w:cs="Arial" w:eastAsia="Arial" w:hAnsi="Arial"/>
          <w:sz w:val="14"/>
          <w:szCs w:val="14"/>
          <w:color w:val="auto"/>
        </w:rPr>
        <w:t>fi</w:t>
      </w:r>
      <w:r>
        <w:rPr>
          <w:rFonts w:ascii="Times New Roman" w:cs="Times New Roman" w:eastAsia="Times New Roman" w:hAnsi="Times New Roman"/>
          <w:sz w:val="14"/>
          <w:szCs w:val="14"/>
          <w:color w:val="auto"/>
        </w:rPr>
        <w:t>ed and characterized the use of waste surface impoundments at O &amp; G facilities as well as the threat level from O &amp; G spills in California. To assess the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cacy of the current federal and California state-permitting regime, the paper evaluated stormwater permit compliance in two California counties. It also reviewed selected spill cases and associated Spill Prevention, Control and Countermeasure Plans and Stormwater Pollution Prevention Plans to identify the adequacy of current industry practices.</w:t>
      </w:r>
    </w:p>
    <w:p>
      <w:pPr>
        <w:spacing w:after="0" w:line="174" w:lineRule="exact"/>
        <w:rPr>
          <w:sz w:val="24"/>
          <w:szCs w:val="24"/>
          <w:color w:val="auto"/>
        </w:rPr>
      </w:pPr>
    </w:p>
    <w:p>
      <w:pPr>
        <w:jc w:val="both"/>
        <w:ind w:firstLine="187"/>
        <w:spacing w:after="0" w:line="286" w:lineRule="auto"/>
        <w:rPr>
          <w:sz w:val="20"/>
          <w:szCs w:val="20"/>
          <w:color w:val="auto"/>
        </w:rPr>
      </w:pPr>
      <w:r>
        <w:rPr>
          <w:rFonts w:ascii="Times New Roman" w:cs="Times New Roman" w:eastAsia="Times New Roman" w:hAnsi="Times New Roman"/>
          <w:sz w:val="14"/>
          <w:szCs w:val="14"/>
          <w:color w:val="auto"/>
        </w:rPr>
        <w:t>The analysis showed that contaminated stormwater from O &amp; G facilities can be better regulated. The U.S. Environmental Protection Agency does not require O &amp; G facilities to</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le for an Industrial Stormwater General Permit even though many O &amp; G industry practices have the potential to contaminate stormwater runo</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 from the site. When O &amp; G facilities discharge a Reportable Quantity of a hazardous chemical or violate a water quality standard, they are required to enroll in the National Pollutant Discharge Elimination System permit program. Spills, although not a direct indication of stormwater runo</w:t>
      </w:r>
      <w:r>
        <w:rPr>
          <w:rFonts w:ascii="Arial" w:cs="Arial" w:eastAsia="Arial" w:hAnsi="Arial"/>
          <w:sz w:val="14"/>
          <w:szCs w:val="14"/>
          <w:color w:val="auto"/>
        </w:rPr>
        <w:t>ﬀ</w:t>
      </w:r>
      <w:r>
        <w:rPr>
          <w:rFonts w:ascii="Times New Roman" w:cs="Times New Roman" w:eastAsia="Times New Roman" w:hAnsi="Times New Roman"/>
          <w:sz w:val="14"/>
          <w:szCs w:val="14"/>
          <w:color w:val="auto"/>
        </w:rPr>
        <w:t>, can highlight polluted runo</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 discharges that should have been regulated. Medium and large spills that reached waterways were such a risk for which operators did not</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le for a permit. In California new</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ling requirements for the oil and gas industry require all facilities that discharge stormwater that has come into contact with any overburden, raw material, or intermediate products located on the site, to</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le for an Industrial Stormwater General Permit. As this study showed, there has been an increase in enrollment since the enactment of the new requirements. Having all facilities enroll in the general permit program, as done in California, would require minimum monitoring and maintenance that could help prevent spills. A further step to ensure better protocol is to require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pollution control practices in addition to the current general permit requirements. Such permitting regimes not only can be implemented on the US federal level but also internationally.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340995</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85pt" to="354.65pt,26.85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0" w:space="720"/>
            <w:col w:w="7100"/>
          </w:cols>
          <w:pgMar w:left="760" w:top="676" w:right="746" w:bottom="593"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spacing w:after="0"/>
        <w:rPr>
          <w:sz w:val="20"/>
          <w:szCs w:val="20"/>
          <w:color w:val="auto"/>
        </w:rPr>
      </w:pPr>
      <w:r>
        <w:rPr>
          <w:rFonts w:ascii="Arial" w:cs="Arial" w:eastAsia="Arial" w:hAnsi="Arial"/>
          <w:sz w:val="16"/>
          <w:szCs w:val="16"/>
          <w:color w:val="auto"/>
        </w:rPr>
        <w:t>1. Introduction</w:t>
      </w:r>
    </w:p>
    <w:p>
      <w:pPr>
        <w:spacing w:after="0" w:line="237" w:lineRule="exact"/>
        <w:rPr>
          <w:sz w:val="24"/>
          <w:szCs w:val="24"/>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O &amp; G exploration and development is a large global industry, and it is likely to expand in the near future due to technological advances and the increased cost-e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ectiveness of unconventional oil stimulation techniques. With increased activity, there are a variety of ways in which pollutants can get into our waterways, especially if the activity goes unregulated: stormwater transports debris, chemicals, sediment and other pollutants that may adversely impact wildlife, cause algae blooms and increase</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ooding. Due to an exemption, 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from oil and gas drilling sites is not regulated under the National Pollutant Discharge Elimination System (NPDES).</w:t>
      </w:r>
    </w:p>
    <w:p>
      <w:pPr>
        <w:spacing w:after="0" w:line="199" w:lineRule="exact"/>
        <w:rPr>
          <w:sz w:val="24"/>
          <w:szCs w:val="24"/>
          <w:color w:val="auto"/>
        </w:rPr>
      </w:pPr>
    </w:p>
    <w:p>
      <w:pPr>
        <w:ind w:left="240"/>
        <w:spacing w:after="0"/>
        <w:rPr>
          <w:sz w:val="20"/>
          <w:szCs w:val="20"/>
          <w:color w:val="auto"/>
        </w:rPr>
      </w:pPr>
      <w:r>
        <w:rPr>
          <w:rFonts w:ascii="Times New Roman" w:cs="Times New Roman" w:eastAsia="Times New Roman" w:hAnsi="Times New Roman"/>
          <w:sz w:val="16"/>
          <w:szCs w:val="16"/>
          <w:color w:val="auto"/>
        </w:rPr>
        <w:t>There are many O &amp; G</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 operations that can contribute 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273050</wp:posOffset>
            </wp:positionV>
            <wp:extent cx="458470"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58470" cy="4763"/>
                    </a:xfrm>
                    <a:prstGeom prst="rect">
                      <a:avLst/>
                    </a:prstGeom>
                    <a:noFill/>
                  </pic:spPr>
                </pic:pic>
              </a:graphicData>
            </a:graphic>
          </wp:anchor>
        </w:drawing>
      </w:r>
    </w:p>
    <w:p>
      <w:pPr>
        <w:spacing w:after="0" w:line="200" w:lineRule="exact"/>
        <w:rPr>
          <w:sz w:val="24"/>
          <w:szCs w:val="24"/>
          <w:color w:val="auto"/>
        </w:rPr>
      </w:pPr>
    </w:p>
    <w:p>
      <w:pPr>
        <w:spacing w:after="0" w:line="237" w:lineRule="exact"/>
        <w:rPr>
          <w:sz w:val="24"/>
          <w:szCs w:val="24"/>
          <w:color w:val="auto"/>
        </w:rPr>
      </w:pPr>
    </w:p>
    <w:p>
      <w:pPr>
        <w:ind w:left="120"/>
        <w:spacing w:after="0"/>
        <w:rPr>
          <w:sz w:val="24"/>
          <w:szCs w:val="24"/>
          <w:color w:val="auto"/>
        </w:rPr>
      </w:pPr>
      <w:r>
        <w:rPr>
          <w:rFonts w:ascii="Times New Roman" w:cs="Times New Roman" w:eastAsia="Times New Roman" w:hAnsi="Times New Roman"/>
          <w:sz w:val="13"/>
          <w:szCs w:val="13"/>
          <w:color w:val="auto"/>
        </w:rPr>
        <w:t>Corresponding author.</w:t>
      </w:r>
    </w:p>
    <w:p>
      <w:pPr>
        <w:spacing w:after="0" w:line="71" w:lineRule="exact"/>
        <w:rPr>
          <w:sz w:val="24"/>
          <w:szCs w:val="24"/>
          <w:color w:val="auto"/>
        </w:rPr>
      </w:pPr>
    </w:p>
    <w:p>
      <w:pPr>
        <w:ind w:left="220"/>
        <w:spacing w:after="0" w:line="20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E-mail address:</w:t>
      </w:r>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khadeeja@ucla.edu</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(K. Abdullah).</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jc w:val="both"/>
        <w:spacing w:after="0" w:line="27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contamination of stormwater. They include but are not limited to drilling and production equipment and other machinery, raw materials, waste products and by-products, O &amp; G treatment units,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nished pro-ducts, storage areas, fuels and lubricants, and waste treatment areas (</w:t>
      </w:r>
      <w:hyperlink w:anchor="page7">
        <w:r>
          <w:rPr>
            <w:rFonts w:ascii="Times New Roman" w:cs="Times New Roman" w:eastAsia="Times New Roman" w:hAnsi="Times New Roman"/>
            <w:sz w:val="16"/>
            <w:szCs w:val="16"/>
            <w:color w:val="004A76"/>
          </w:rPr>
          <w:t>US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EPA, 2006</w:t>
        </w:r>
      </w:hyperlink>
      <w:r>
        <w:rPr>
          <w:rFonts w:ascii="Times New Roman" w:cs="Times New Roman" w:eastAsia="Times New Roman" w:hAnsi="Times New Roman"/>
          <w:sz w:val="16"/>
          <w:szCs w:val="16"/>
          <w:color w:val="000000"/>
        </w:rPr>
        <w:t>). For more details on the activities, pollutant sources,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pollutants that are commonly found at O &amp; G extraction facilities see the supplementary section.</w:t>
      </w:r>
    </w:p>
    <w:p>
      <w:pPr>
        <w:spacing w:after="0" w:line="193"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Construction activity is a major source of pollutant discharge, both from sediment and also the equipment and materials used. O &amp; G con-struction sites have the potential to produce as much sediment as other types of construction sites (</w:t>
      </w:r>
      <w:hyperlink w:anchor="page7">
        <w:r>
          <w:rPr>
            <w:rFonts w:ascii="Times New Roman" w:cs="Times New Roman" w:eastAsia="Times New Roman" w:hAnsi="Times New Roman"/>
            <w:sz w:val="16"/>
            <w:szCs w:val="16"/>
            <w:color w:val="004A76"/>
          </w:rPr>
          <w:t>McBroom et al., 2012; Williams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 Well drilling, well stimulations, and well production are all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sources of increased total suspended solids (TSS), total dissolved solids</w:t>
      </w:r>
    </w:p>
    <w:p>
      <w:pPr>
        <w:spacing w:after="0" w:line="945" w:lineRule="exact"/>
        <w:rPr>
          <w:sz w:val="20"/>
          <w:szCs w:val="20"/>
          <w:color w:val="auto"/>
        </w:rPr>
      </w:pPr>
    </w:p>
    <w:p>
      <w:pPr>
        <w:sectPr>
          <w:pgSz w:w="11900" w:h="15874" w:orient="portrait"/>
          <w:cols w:equalWidth="0" w:num="2">
            <w:col w:w="5020" w:space="360"/>
            <w:col w:w="5020"/>
          </w:cols>
          <w:pgMar w:left="760" w:top="676" w:right="746" w:bottom="593" w:gutter="0" w:footer="0" w:header="0"/>
          <w:type w:val="continuous"/>
        </w:sectPr>
      </w:pPr>
    </w:p>
    <w:p>
      <w:pPr>
        <w:spacing w:after="0"/>
        <w:rPr>
          <w:rFonts w:ascii="Times New Roman" w:cs="Times New Roman" w:eastAsia="Times New Roman" w:hAnsi="Times New Roman"/>
          <w:sz w:val="13"/>
          <w:szCs w:val="13"/>
          <w:color w:val="004A76"/>
        </w:rPr>
      </w:pPr>
      <w:hyperlink r:id="rId12">
        <w:r>
          <w:rPr>
            <w:rFonts w:ascii="Times New Roman" w:cs="Times New Roman" w:eastAsia="Times New Roman" w:hAnsi="Times New Roman"/>
            <w:sz w:val="13"/>
            <w:szCs w:val="13"/>
            <w:color w:val="004A76"/>
          </w:rPr>
          <w:t>http://dx.doi.org/10.1016/j.envsci.2017.06.016</w:t>
        </w:r>
      </w:hyperlink>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Received 16 November 2016; Received in revised form 23 June 2017; Accepted 25 June 2017</w:t>
      </w:r>
    </w:p>
    <w:p>
      <w:pPr>
        <w:spacing w:after="0"/>
        <w:rPr>
          <w:sz w:val="20"/>
          <w:szCs w:val="20"/>
          <w:color w:val="auto"/>
        </w:rPr>
      </w:pPr>
      <w:r>
        <w:rPr>
          <w:rFonts w:ascii="Arial" w:cs="Arial" w:eastAsia="Arial" w:hAnsi="Arial"/>
          <w:sz w:val="13"/>
          <w:szCs w:val="13"/>
          <w:color w:val="auto"/>
        </w:rPr>
        <w:t>1462-9011/ © 2017 Elsevier Ltd. All rights reserved.</w:t>
      </w:r>
    </w:p>
    <w:p>
      <w:pPr>
        <w:sectPr>
          <w:pgSz w:w="11900" w:h="15874" w:orient="portrait"/>
          <w:cols w:equalWidth="0" w:num="1">
            <w:col w:w="10400"/>
          </w:cols>
          <w:pgMar w:left="760" w:top="676" w:right="746" w:bottom="593"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K. Abdullah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(TDS), and pollutants including oil and grease as well as a large variety of hazardous chemicals listed as chemicals requiring reporting under the Clean Water Act (</w:t>
      </w:r>
      <w:hyperlink w:anchor="page7">
        <w:r>
          <w:rPr>
            <w:rFonts w:ascii="Times New Roman" w:cs="Times New Roman" w:eastAsia="Times New Roman" w:hAnsi="Times New Roman"/>
            <w:sz w:val="16"/>
            <w:szCs w:val="16"/>
            <w:color w:val="004A76"/>
          </w:rPr>
          <w:t>US EPA, 2006</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Vehicles and equipment on site are another source of TSS, TDS, oil and grease, and pH alterations.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with more wells are greater threats to stormwater pollution. Well density is positively correlated with in-stream turbidity measurements (</w:t>
      </w:r>
      <w:hyperlink w:anchor="page7">
        <w:r>
          <w:rPr>
            <w:rFonts w:ascii="Times New Roman" w:cs="Times New Roman" w:eastAsia="Times New Roman" w:hAnsi="Times New Roman"/>
            <w:sz w:val="16"/>
            <w:szCs w:val="16"/>
            <w:color w:val="004A76"/>
          </w:rPr>
          <w:t>Entrekin et al., 2011</w:t>
        </w:r>
      </w:hyperlink>
      <w:r>
        <w:rPr>
          <w:rFonts w:ascii="Times New Roman" w:cs="Times New Roman" w:eastAsia="Times New Roman" w:hAnsi="Times New Roman"/>
          <w:sz w:val="16"/>
          <w:szCs w:val="16"/>
          <w:color w:val="auto"/>
        </w:rPr>
        <w:t>) and in-creased TSS concentrations (</w:t>
      </w:r>
      <w:hyperlink w:anchor="page7">
        <w:r>
          <w:rPr>
            <w:rFonts w:ascii="Times New Roman" w:cs="Times New Roman" w:eastAsia="Times New Roman" w:hAnsi="Times New Roman"/>
            <w:sz w:val="16"/>
            <w:szCs w:val="16"/>
            <w:color w:val="004A76"/>
          </w:rPr>
          <w:t>Olmstead et al., 2013</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Another source of contamination are surface impoundments that are often used to store a variety of potentially toxic, as well as non-ha-zardous liquid and solid wastes associated with O &amp; G development. Although no studies have looked at the impact of 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from surface impoundments, the chemicals may leach into ground-water; contaminate soils and vegetation; or over</w:t>
      </w:r>
      <w:r>
        <w:rPr>
          <w:rFonts w:ascii="Arial" w:cs="Arial" w:eastAsia="Arial" w:hAnsi="Arial"/>
          <w:sz w:val="16"/>
          <w:szCs w:val="16"/>
          <w:color w:val="auto"/>
        </w:rPr>
        <w:t>fl</w:t>
      </w:r>
      <w:r>
        <w:rPr>
          <w:rFonts w:ascii="Times New Roman" w:cs="Times New Roman" w:eastAsia="Times New Roman" w:hAnsi="Times New Roman"/>
          <w:sz w:val="16"/>
          <w:szCs w:val="16"/>
          <w:color w:val="auto"/>
        </w:rPr>
        <w:t>ow from the sides of the impoundment</w:t>
      </w:r>
      <w:r>
        <w:rPr>
          <w:rFonts w:ascii="Arial" w:cs="Arial" w:eastAsia="Arial" w:hAnsi="Arial"/>
          <w:sz w:val="16"/>
          <w:szCs w:val="16"/>
          <w:color w:val="auto"/>
        </w:rPr>
        <w:t>—</w:t>
      </w:r>
      <w:r>
        <w:rPr>
          <w:rFonts w:ascii="Times New Roman" w:cs="Times New Roman" w:eastAsia="Times New Roman" w:hAnsi="Times New Roman"/>
          <w:sz w:val="16"/>
          <w:szCs w:val="16"/>
          <w:color w:val="auto"/>
        </w:rPr>
        <w:t>either during a rain event, or due to inadequate storage</w:t>
      </w:r>
      <w:r>
        <w:rPr>
          <w:rFonts w:ascii="Arial" w:cs="Arial" w:eastAsia="Arial" w:hAnsi="Arial"/>
          <w:sz w:val="16"/>
          <w:szCs w:val="16"/>
          <w:color w:val="auto"/>
        </w:rPr>
        <w:t>—</w:t>
      </w:r>
      <w:r>
        <w:rPr>
          <w:rFonts w:ascii="Times New Roman" w:cs="Times New Roman" w:eastAsia="Times New Roman" w:hAnsi="Times New Roman"/>
          <w:sz w:val="16"/>
          <w:szCs w:val="16"/>
          <w:color w:val="auto"/>
        </w:rPr>
        <w:t>and pollute soil and surface waters.</w:t>
      </w:r>
    </w:p>
    <w:p>
      <w:pPr>
        <w:spacing w:after="0" w:line="181" w:lineRule="exact"/>
        <w:rPr>
          <w:sz w:val="20"/>
          <w:szCs w:val="20"/>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The purpose of this study is to identify the extent that O &amp; G ex-ploration and production operations threaten surface water and identify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permitting requirements to eliminate the exposure of O &amp; G operations to 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and/or to control pollutants in discharges to protect surface waters. To determine if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threat exists</w:t>
      </w:r>
      <w:r>
        <w:rPr>
          <w:rFonts w:ascii="Arial" w:cs="Arial" w:eastAsia="Arial" w:hAnsi="Arial"/>
          <w:sz w:val="16"/>
          <w:szCs w:val="16"/>
          <w:color w:val="auto"/>
        </w:rPr>
        <w:t>—</w:t>
      </w:r>
      <w:r>
        <w:rPr>
          <w:rFonts w:ascii="Times New Roman" w:cs="Times New Roman" w:eastAsia="Times New Roman" w:hAnsi="Times New Roman"/>
          <w:sz w:val="16"/>
          <w:szCs w:val="16"/>
          <w:color w:val="auto"/>
        </w:rPr>
        <w:t>which if it does exist, the US EPA Regional Administrator may designate additional stormwater discharges as requiring NPDES per-mits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this paper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characterized the use of waste surface impoundments at O &amp; G facilities and highlighted risks from spill re-ports, quantifying the occurrence rate of medium and large sized spills as well as whether they came in contact with waterways.</w:t>
      </w:r>
    </w:p>
    <w:p>
      <w:pPr>
        <w:spacing w:after="0" w:line="2"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To identify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permitting requirements the paper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areas of improvement in the current federal and California state regulatory framework for managing direct and indirect discharges from O &amp; G development. To do so the paper reviewed Industrial Stormwater General Permit compliance and current unconventional oil stimulation stormwater permit compliance given the increase in this practice in two California Counties. It also reviewed selected spill cases and associated Stormwater Pollution Prevention Plans (SWPP) and Spill Prevention, Control and Countermeasure (SPCC) plans to identify adequacy of current industry practices.</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1.1. Oil and gas exploration and production stormwater regulations</w:t>
      </w:r>
    </w:p>
    <w:p>
      <w:pPr>
        <w:spacing w:after="0" w:line="234"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The Clean Water Act regulates the treatment and discharge of wastewater into surface waters of the United States. It sets national standards for industrial wastewater discharges to surface waters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which is known as direct discharge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and municipal sewage treatment plants (also known as publicly owned treatment works or POTWs)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which is known as indirect discharge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based on the performance of treatment and control technologies.</w:t>
      </w:r>
    </w:p>
    <w:p>
      <w:pPr>
        <w:spacing w:after="0" w:line="198"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Direct discharges are subject to the National Pollutant Discharge Elimination System (NPDES) permit program. The permit contains limits on what can be discharged, monitoring and reporting require-ments, and other provisions to ensure that the discharge does not hurt water quality or people's health. There are two basic types of NPDES permits issued: an individual permit and a general permit. An in-dividual permit is tailored to an individual facility, and a general permit to a group of similar dischargers. In certain cases there are more sector/ 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permits/requirements, such as the Washington States boatyard permit (</w:t>
      </w:r>
      <w:hyperlink w:anchor="page7">
        <w:r>
          <w:rPr>
            <w:rFonts w:ascii="Times New Roman" w:cs="Times New Roman" w:eastAsia="Times New Roman" w:hAnsi="Times New Roman"/>
            <w:sz w:val="16"/>
            <w:szCs w:val="16"/>
            <w:color w:val="004A76"/>
          </w:rPr>
          <w:t>Boatyard General Permit</w:t>
        </w:r>
      </w:hyperlink>
      <w:r>
        <w:rPr>
          <w:rFonts w:ascii="Times New Roman" w:cs="Times New Roman" w:eastAsia="Times New Roman" w:hAnsi="Times New Roman"/>
          <w:sz w:val="16"/>
          <w:szCs w:val="16"/>
          <w:color w:val="auto"/>
        </w:rPr>
        <w:t>) or California Regional Water Quality Control Board Santa Ana Region</w:t>
      </w:r>
      <w:r>
        <w:rPr>
          <w:rFonts w:ascii="Arial" w:cs="Arial" w:eastAsia="Arial" w:hAnsi="Arial"/>
          <w:sz w:val="16"/>
          <w:szCs w:val="16"/>
          <w:color w:val="auto"/>
        </w:rPr>
        <w:t>’</w:t>
      </w:r>
      <w:r>
        <w:rPr>
          <w:rFonts w:ascii="Times New Roman" w:cs="Times New Roman" w:eastAsia="Times New Roman" w:hAnsi="Times New Roman"/>
          <w:sz w:val="16"/>
          <w:szCs w:val="16"/>
          <w:color w:val="auto"/>
        </w:rPr>
        <w:t>s sector-speci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general permit for storm 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associated with industrial activities from scrap metal recycling facilities (</w:t>
      </w:r>
      <w:hyperlink w:anchor="page7">
        <w:r>
          <w:rPr>
            <w:rFonts w:ascii="Times New Roman" w:cs="Times New Roman" w:eastAsia="Times New Roman" w:hAnsi="Times New Roman"/>
            <w:sz w:val="16"/>
            <w:szCs w:val="16"/>
            <w:color w:val="004A76"/>
          </w:rPr>
          <w:t>SWRCB, 2012</w:t>
        </w:r>
      </w:hyperlink>
      <w:r>
        <w:rPr>
          <w:rFonts w:ascii="Times New Roman" w:cs="Times New Roman" w:eastAsia="Times New Roman" w:hAnsi="Times New Roman"/>
          <w:sz w:val="16"/>
          <w:szCs w:val="16"/>
          <w:color w:val="auto"/>
        </w:rPr>
        <w:t>).</w:t>
      </w:r>
    </w:p>
    <w:p>
      <w:pPr>
        <w:spacing w:after="0" w:line="197"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is a direct discharge. Requirements for the Industrial Stormwater General Permit include development of a written Stormwater Pollution Prevention Plan (SWPPP), implementation of control measures, and submittal of a request for permit coverage, usually referred to as the Notice of Intent or NOI. The SWPPP is a written assessment of potential sources of pollutants in stormwater</w:t>
      </w:r>
    </w:p>
    <w:p>
      <w:pPr>
        <w:spacing w:after="0" w:line="20" w:lineRule="exact"/>
        <w:rPr>
          <w:sz w:val="20"/>
          <w:szCs w:val="20"/>
          <w:color w:val="auto"/>
        </w:rPr>
      </w:pPr>
      <w:r>
        <w:rPr>
          <w:sz w:val="20"/>
          <w:szCs w:val="20"/>
          <w:color w:val="auto"/>
        </w:rPr>
        <w:br w:type="column"/>
      </w:r>
    </w:p>
    <w:p>
      <w:pPr>
        <w:ind w:left="2080"/>
        <w:spacing w:after="0"/>
        <w:rPr>
          <w:sz w:val="20"/>
          <w:szCs w:val="20"/>
          <w:color w:val="auto"/>
        </w:rPr>
      </w:pPr>
      <w:r>
        <w:rPr>
          <w:rFonts w:ascii="Arial" w:cs="Arial" w:eastAsia="Arial" w:hAnsi="Arial"/>
          <w:sz w:val="12"/>
          <w:szCs w:val="12"/>
          <w:i w:val="1"/>
          <w:iCs w:val="1"/>
          <w:color w:val="auto"/>
        </w:rPr>
        <w:t>Environmental Science and Policy 76 (2017) 139–145</w:t>
      </w:r>
    </w:p>
    <w:p>
      <w:pPr>
        <w:spacing w:after="0" w:line="333"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and measures that will be implemented at the facility to mini-mize the discharge of these pollutants in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from the site. These measures include site-speci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best management practices (BMPs), maintenance plans, inspections, employee training, and reporting. The procedures detailed in the SWPPP must be implemented by the facility and updated as necessary, with a copy of the SWPPP kept on-site. The Industrial Stormwater General Permit also requires collection of visual, analytical, and/or compliance monitoring data to determine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ec-tiveness of implemented BMPs (</w:t>
      </w:r>
      <w:hyperlink w:anchor="page7">
        <w:r>
          <w:rPr>
            <w:rFonts w:ascii="Times New Roman" w:cs="Times New Roman" w:eastAsia="Times New Roman" w:hAnsi="Times New Roman"/>
            <w:sz w:val="16"/>
            <w:szCs w:val="16"/>
            <w:color w:val="004A76"/>
          </w:rPr>
          <w:t>US EPA, 2009</w:t>
        </w:r>
      </w:hyperlink>
      <w:r>
        <w:rPr>
          <w:rFonts w:ascii="Times New Roman" w:cs="Times New Roman" w:eastAsia="Times New Roman" w:hAnsi="Times New Roman"/>
          <w:sz w:val="16"/>
          <w:szCs w:val="16"/>
          <w:color w:val="auto"/>
        </w:rPr>
        <w:t>).</w:t>
      </w:r>
    </w:p>
    <w:p>
      <w:pPr>
        <w:spacing w:after="0" w:line="199" w:lineRule="exact"/>
        <w:rPr>
          <w:sz w:val="20"/>
          <w:szCs w:val="20"/>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Direct discharges from O &amp; G sites are subject to the NPDES permit program, with the exception of coal bed methane. There can be no discharge of water pollutants from any source associated with pro-duction,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 exploration, drilling, well completion, or well treatment, except for wastewater that is of good enough quality for use in agri-cultural and wildlife propagation.</w:t>
      </w:r>
    </w:p>
    <w:p>
      <w:pPr>
        <w:spacing w:after="0" w:line="3"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at O &amp; G sites, however, is exempted from the NPDES program unless a facility has a discharge of Reportable Quantity (RQ) or contributes to a violation of a water quality standard (40 CFR 122.26(a)(2)). This includes discharges that cause a</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lm or sheen, or a discoloration of the water surface or adjoining shorelines, or causes a sludge or emulsion to be deposited beneath the water surface or upon adjoining shorelines. Reportable Quantity is a determined limit for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hazardous chemicals pursuant to section 311 of The Clean Water Act.</w:t>
      </w:r>
    </w:p>
    <w:p>
      <w:pPr>
        <w:spacing w:after="0" w:line="200" w:lineRule="exact"/>
        <w:rPr>
          <w:sz w:val="20"/>
          <w:szCs w:val="20"/>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Proving a discharge of RQ or noting a violation of a water quality standard will not happen if proper monitoring equipment and re-quirements are not in place. Such monitoring happens when a facility is enrolled in the NPDES program.</w:t>
      </w:r>
    </w:p>
    <w:p>
      <w:pPr>
        <w:spacing w:after="0" w:line="3"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The stormwater discharge exemption impedes our ability to prevent contamination of waterways. However there is Residual Designation Authority in the CWA that allows for regulating an activity that may adversely impact surface waters. A delegated state such as California also has this authority. It states that,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the EPA Regional Administrator may designate additional stormwater discharges as requiring NPDES permits where he determines that the discharge, or category of dis-charges within a geographic area, contributes to a violation of a water quality standard or is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contributor of pollutants to waters of the United States (40 CFR 122.26).</w:t>
      </w:r>
      <w:r>
        <w:rPr>
          <w:rFonts w:ascii="Arial" w:cs="Arial" w:eastAsia="Arial" w:hAnsi="Arial"/>
          <w:sz w:val="16"/>
          <w:szCs w:val="16"/>
          <w:color w:val="auto"/>
        </w:rPr>
        <w:t>”</w:t>
      </w:r>
    </w:p>
    <w:p>
      <w:pPr>
        <w:spacing w:after="0" w:line="181" w:lineRule="exact"/>
        <w:rPr>
          <w:sz w:val="20"/>
          <w:szCs w:val="20"/>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Also part of the CWA, the US EPA requires certain oil drilling fa-cilities to prepare and implement Spill Prevention, Control and Countermeasure (SPCC) plans to prevent discharge of oil into navigable waters or adjoining shorelines. Facilities that must prepare and imple-ment SPCC plans include: non-transportation related facilities; facilities that have an aggregate above ground storage capacity over 1320 gal-lons or a buried storage capacity over 42,000 gallons; and facilities that have a reasonable expectation of discharging into or upon navigable waters or adjoining shorelines (40 CFR 122).</w:t>
      </w:r>
    </w:p>
    <w:p>
      <w:pPr>
        <w:spacing w:after="0" w:line="4" w:lineRule="exact"/>
        <w:rPr>
          <w:sz w:val="20"/>
          <w:szCs w:val="20"/>
          <w:color w:val="auto"/>
        </w:rPr>
      </w:pPr>
    </w:p>
    <w:p>
      <w:pPr>
        <w:jc w:val="both"/>
        <w:ind w:firstLine="250"/>
        <w:spacing w:after="0" w:line="272" w:lineRule="auto"/>
        <w:rPr>
          <w:sz w:val="20"/>
          <w:szCs w:val="20"/>
          <w:color w:val="auto"/>
        </w:rPr>
      </w:pPr>
      <w:r>
        <w:rPr>
          <w:rFonts w:ascii="Times New Roman" w:cs="Times New Roman" w:eastAsia="Times New Roman" w:hAnsi="Times New Roman"/>
          <w:sz w:val="16"/>
          <w:szCs w:val="16"/>
          <w:color w:val="auto"/>
        </w:rPr>
        <w:t>The SPCC plan and the NPDES permit program are intended to capture potential sources of pollutants that may contaminate surface water. However, often the suggested protocol and measures taken are too general for them to be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for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industry. With no 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permits there is no guidance as to where and how representative and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monitoring should take place, what 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constituents should be monitored, or which BMPs serve that industry</w:t>
      </w:r>
      <w:r>
        <w:rPr>
          <w:rFonts w:ascii="Arial" w:cs="Arial" w:eastAsia="Arial" w:hAnsi="Arial"/>
          <w:sz w:val="16"/>
          <w:szCs w:val="16"/>
          <w:color w:val="auto"/>
        </w:rPr>
        <w:t>’</w:t>
      </w:r>
      <w:r>
        <w:rPr>
          <w:rFonts w:ascii="Times New Roman" w:cs="Times New Roman" w:eastAsia="Times New Roman" w:hAnsi="Times New Roman"/>
          <w:sz w:val="16"/>
          <w:szCs w:val="16"/>
          <w:color w:val="auto"/>
        </w:rPr>
        <w:t>s needs. With no 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recommendations, it is left up to operators to implement or not implement measures. If ap-propriate monitoring is not happening it is not capturing any violations.</w:t>
      </w:r>
    </w:p>
    <w:p>
      <w:pPr>
        <w:spacing w:after="0" w:line="4" w:lineRule="exact"/>
        <w:rPr>
          <w:sz w:val="20"/>
          <w:szCs w:val="20"/>
          <w:color w:val="auto"/>
        </w:rPr>
      </w:pPr>
    </w:p>
    <w:p>
      <w:pPr>
        <w:jc w:val="both"/>
        <w:ind w:firstLine="250"/>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limitations of Federal regulations, summarized above, are counteracted to some extent by CA regulations that require all O &amp; G facilities that discharge stormwater contaminated by contact with, or that has come into contact with any overburden, raw material, inter-mediate products located on the site of such operations, to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an Industrial Stormwater General Permit,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July 2015 (</w:t>
      </w:r>
      <w:hyperlink w:anchor="page7">
        <w:r>
          <w:rPr>
            <w:rFonts w:ascii="Times New Roman" w:cs="Times New Roman" w:eastAsia="Times New Roman" w:hAnsi="Times New Roman"/>
            <w:sz w:val="16"/>
            <w:szCs w:val="16"/>
            <w:color w:val="004A76"/>
          </w:rPr>
          <w:t>SWRCB,</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 O &amp; G exploration and production facilities that drain to wa-terways must now submit an application to be covered by the General Permit or</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le a No Exposure Certi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A No Exposure Certi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w:t>
      </w:r>
    </w:p>
    <w:p>
      <w:pPr>
        <w:spacing w:after="0" w:line="191" w:lineRule="exact"/>
        <w:rPr>
          <w:sz w:val="20"/>
          <w:szCs w:val="20"/>
          <w:color w:val="auto"/>
        </w:rPr>
      </w:pPr>
    </w:p>
    <w:p>
      <w:pPr>
        <w:sectPr>
          <w:pgSz w:w="11900" w:h="15874" w:orient="portrait"/>
          <w:cols w:equalWidth="0" w:num="2">
            <w:col w:w="5020" w:space="360"/>
            <w:col w:w="5020"/>
          </w:cols>
          <w:pgMar w:left="760" w:top="676" w:right="746" w:bottom="3" w:gutter="0" w:footer="0" w:header="0"/>
        </w:sectPr>
      </w:pPr>
    </w:p>
    <w:p>
      <w:pPr>
        <w:jc w:val="center"/>
        <w:ind w:right="20"/>
        <w:spacing w:after="0"/>
        <w:rPr>
          <w:sz w:val="20"/>
          <w:szCs w:val="20"/>
          <w:color w:val="auto"/>
        </w:rPr>
      </w:pPr>
      <w:r>
        <w:rPr>
          <w:rFonts w:ascii="Arial" w:cs="Arial" w:eastAsia="Arial" w:hAnsi="Arial"/>
          <w:sz w:val="13"/>
          <w:szCs w:val="13"/>
          <w:color w:val="auto"/>
        </w:rPr>
        <w:t>140</w:t>
      </w:r>
    </w:p>
    <w:p>
      <w:pPr>
        <w:sectPr>
          <w:pgSz w:w="11900" w:h="15874" w:orient="portrait"/>
          <w:cols w:equalWidth="0" w:num="1">
            <w:col w:w="10400"/>
          </w:cols>
          <w:pgMar w:left="760" w:top="676" w:right="746" w:bottom="3"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K. Abdullah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means that the entity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does not require permit authorization for its stormwater discharges associated with industrial activity due to the existence of a condition of no exposure. In the new order it also states,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when developing the next reissuance of this General Permit, the State Water Board expects to have a better understanding of the feasi-bility and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of sector-speci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and watershed based permitting alternatives, which may include technology</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 or water quality based numeric e</w:t>
      </w:r>
      <w:r>
        <w:rPr>
          <w:rFonts w:ascii="Arial" w:cs="Arial" w:eastAsia="Arial" w:hAnsi="Arial"/>
          <w:sz w:val="16"/>
          <w:szCs w:val="16"/>
          <w:color w:val="auto"/>
        </w:rPr>
        <w:t>ﬄ</w:t>
      </w:r>
      <w:r>
        <w:rPr>
          <w:rFonts w:ascii="Times New Roman" w:cs="Times New Roman" w:eastAsia="Times New Roman" w:hAnsi="Times New Roman"/>
          <w:sz w:val="16"/>
          <w:szCs w:val="16"/>
          <w:color w:val="auto"/>
        </w:rPr>
        <w:t>uent limitation (</w:t>
      </w:r>
      <w:hyperlink w:anchor="page7">
        <w:r>
          <w:rPr>
            <w:rFonts w:ascii="Times New Roman" w:cs="Times New Roman" w:eastAsia="Times New Roman" w:hAnsi="Times New Roman"/>
            <w:sz w:val="16"/>
            <w:szCs w:val="16"/>
            <w:color w:val="004A76"/>
          </w:rPr>
          <w:t>SWRCB, 2014</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This means the State Water Board recognizes that sector-speci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permitting may be neces-sary for certain industries, O &amp; G included.</w:t>
      </w:r>
    </w:p>
    <w:p>
      <w:pPr>
        <w:spacing w:after="0" w:line="203"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At the national level, only spills that exceed a Reportable Quantity or contribute to a water quality violation require noti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to be covered by the general permit for stormwater discharges. In California, all O &amp; G exploration and production facilities that drain to waterways must submit an application to be covered by the Industrial Stormwater General Permit or</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 No Exposure Certi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At issue is the fact that an important industry is either going unmonitored at the federal level or being regulated with very general pollution prevention and control requirements when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control measures would be appropriate to reduce the risk of contamination of waterways.</w:t>
      </w:r>
    </w:p>
    <w:p>
      <w:pPr>
        <w:spacing w:after="0" w:line="202" w:lineRule="exact"/>
        <w:rPr>
          <w:sz w:val="20"/>
          <w:szCs w:val="20"/>
          <w:color w:val="auto"/>
        </w:rPr>
      </w:pPr>
    </w:p>
    <w:p>
      <w:pPr>
        <w:spacing w:after="0"/>
        <w:rPr>
          <w:sz w:val="20"/>
          <w:szCs w:val="20"/>
          <w:color w:val="auto"/>
        </w:rPr>
      </w:pPr>
      <w:r>
        <w:rPr>
          <w:rFonts w:ascii="Arial" w:cs="Arial" w:eastAsia="Arial" w:hAnsi="Arial"/>
          <w:sz w:val="16"/>
          <w:szCs w:val="16"/>
          <w:color w:val="auto"/>
        </w:rPr>
        <w:t>2. Methods</w:t>
      </w:r>
    </w:p>
    <w:p>
      <w:pPr>
        <w:spacing w:after="0" w:line="237" w:lineRule="exact"/>
        <w:rPr>
          <w:sz w:val="20"/>
          <w:szCs w:val="20"/>
          <w:color w:val="auto"/>
        </w:rPr>
      </w:pPr>
    </w:p>
    <w:p>
      <w:pPr>
        <w:jc w:val="both"/>
        <w:ind w:firstLine="249"/>
        <w:spacing w:after="0" w:line="293" w:lineRule="auto"/>
        <w:rPr>
          <w:sz w:val="20"/>
          <w:szCs w:val="20"/>
          <w:color w:val="auto"/>
        </w:rPr>
      </w:pPr>
      <w:r>
        <w:rPr>
          <w:rFonts w:ascii="Times New Roman" w:cs="Times New Roman" w:eastAsia="Times New Roman" w:hAnsi="Times New Roman"/>
          <w:sz w:val="16"/>
          <w:szCs w:val="16"/>
          <w:color w:val="auto"/>
        </w:rPr>
        <w:t>The following sections discuss the methods used to assess the threat from surface impoundments and spills, as well as look at permit com-pliance.</w:t>
      </w: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Surface impoundments</w:t>
      </w:r>
    </w:p>
    <w:p>
      <w:pPr>
        <w:spacing w:after="0" w:line="236"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Surface impoundments, sometimes referred to as ponds, can be a source of contaminated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They are used for temporarily storing drilling</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uids for use in drilling operations, settling/skimming of solids and separation of residual oil, storage of produced waters prior to in-jection or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-site transport, percolation of liquids via drainage or see-page into surrounding soil, and evaporation of produced waters into the atmosphere (</w:t>
      </w:r>
      <w:hyperlink w:anchor="page7">
        <w:r>
          <w:rPr>
            <w:rFonts w:ascii="Times New Roman" w:cs="Times New Roman" w:eastAsia="Times New Roman" w:hAnsi="Times New Roman"/>
            <w:sz w:val="16"/>
            <w:szCs w:val="16"/>
            <w:color w:val="004A76"/>
          </w:rPr>
          <w:t>Karami et al., 2013</w:t>
        </w:r>
      </w:hyperlink>
      <w:r>
        <w:rPr>
          <w:rFonts w:ascii="Times New Roman" w:cs="Times New Roman" w:eastAsia="Times New Roman" w:hAnsi="Times New Roman"/>
          <w:sz w:val="16"/>
          <w:szCs w:val="16"/>
          <w:color w:val="auto"/>
        </w:rPr>
        <w:t>).</w:t>
      </w:r>
    </w:p>
    <w:p>
      <w:pPr>
        <w:spacing w:after="0" w:line="197"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California, surface impoundments are permitted by the Regional Water Quality Control Boards. In California, surface impoundments are predominantly unlined and used to dispose of produced water through evaporation and/or percolation. Produced waters account for 96</w:t>
      </w:r>
      <w:r>
        <w:rPr>
          <w:rFonts w:ascii="Arial" w:cs="Arial" w:eastAsia="Arial" w:hAnsi="Arial"/>
          <w:sz w:val="16"/>
          <w:szCs w:val="16"/>
          <w:color w:val="auto"/>
        </w:rPr>
        <w:t>–</w:t>
      </w:r>
      <w:r>
        <w:rPr>
          <w:rFonts w:ascii="Times New Roman" w:cs="Times New Roman" w:eastAsia="Times New Roman" w:hAnsi="Times New Roman"/>
          <w:sz w:val="16"/>
          <w:szCs w:val="16"/>
          <w:color w:val="auto"/>
        </w:rPr>
        <w:t>98% of all O &amp; G wastes (</w:t>
      </w:r>
      <w:hyperlink w:anchor="page7">
        <w:r>
          <w:rPr>
            <w:rFonts w:ascii="Times New Roman" w:cs="Times New Roman" w:eastAsia="Times New Roman" w:hAnsi="Times New Roman"/>
            <w:sz w:val="16"/>
            <w:szCs w:val="16"/>
            <w:color w:val="004A76"/>
          </w:rPr>
          <w:t>Congress of the U.S., O</w:t>
        </w:r>
        <w:r>
          <w:rPr>
            <w:rFonts w:ascii="Arial" w:cs="Arial" w:eastAsia="Arial" w:hAnsi="Arial"/>
            <w:sz w:val="16"/>
            <w:szCs w:val="16"/>
            <w:color w:val="004A76"/>
          </w:rPr>
          <w:t>ﬃ</w:t>
        </w:r>
        <w:r>
          <w:rPr>
            <w:rFonts w:ascii="Times New Roman" w:cs="Times New Roman" w:eastAsia="Times New Roman" w:hAnsi="Times New Roman"/>
            <w:sz w:val="16"/>
            <w:szCs w:val="16"/>
            <w:color w:val="004A76"/>
          </w:rPr>
          <w:t>ce of Technology</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Assessment, 1992</w:t>
        </w:r>
      </w:hyperlink>
      <w:r>
        <w:rPr>
          <w:rFonts w:ascii="Times New Roman" w:cs="Times New Roman" w:eastAsia="Times New Roman" w:hAnsi="Times New Roman"/>
          <w:sz w:val="16"/>
          <w:szCs w:val="16"/>
          <w:color w:val="000000"/>
        </w:rPr>
        <w:t>). An estimated 1.9 billion barrels of water were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produced during oil extraction in the Central Valley in 2013. Ap-proximately 12% (12 billion gallons) was disposed into sumps or re-cycled (</w:t>
      </w:r>
      <w:hyperlink w:anchor="page7">
        <w:r>
          <w:rPr>
            <w:rFonts w:ascii="Times New Roman" w:cs="Times New Roman" w:eastAsia="Times New Roman" w:hAnsi="Times New Roman"/>
            <w:sz w:val="16"/>
            <w:szCs w:val="16"/>
            <w:color w:val="004A76"/>
          </w:rPr>
          <w:t>Zinky, 2016</w:t>
        </w:r>
      </w:hyperlink>
      <w:r>
        <w:rPr>
          <w:rFonts w:ascii="Times New Roman" w:cs="Times New Roman" w:eastAsia="Times New Roman" w:hAnsi="Times New Roman"/>
          <w:sz w:val="16"/>
          <w:szCs w:val="16"/>
          <w:color w:val="000000"/>
        </w:rPr>
        <w:t>).</w:t>
      </w:r>
    </w:p>
    <w:p>
      <w:pPr>
        <w:spacing w:after="0" w:line="201"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Section 45 of California Senate Bill 83 requires that the State Water Board report on the regulation of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 xml:space="preserve">eld produced water ponds within each region by January 30, 2016, and every six months thereafter.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report contains information from the Central Coast and Central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Valley Water Boards, and includes the total number of ponds in each region, the number of permitted and unpermitted ponds, enforcement actions, and the status of permitting the unpermitted ponds. Enforcement Actions include Informational Orders (13267), Notices of Violations and Cleanup and Abatement Orders. This report was re-viewed to understand surface impoundment use and makeup in the State of California. The literature was searched to determine in what capacity surface impoundments are used and what the operation en-tails.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2.2. Oil and gas exploration and production spill analysis</w:t>
      </w:r>
    </w:p>
    <w:p>
      <w:pPr>
        <w:spacing w:after="0" w:line="234" w:lineRule="exact"/>
        <w:rPr>
          <w:rFonts w:ascii="Times New Roman" w:cs="Times New Roman" w:eastAsia="Times New Roman" w:hAnsi="Times New Roman"/>
          <w:sz w:val="16"/>
          <w:szCs w:val="16"/>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This study conducted a survey of O &amp; G spills in Kern County and Ventura County, California for the time period of 2010</w:t>
      </w:r>
      <w:r>
        <w:rPr>
          <w:rFonts w:ascii="Arial" w:cs="Arial" w:eastAsia="Arial" w:hAnsi="Arial"/>
          <w:sz w:val="16"/>
          <w:szCs w:val="16"/>
          <w:color w:val="auto"/>
        </w:rPr>
        <w:t>–</w:t>
      </w:r>
      <w:r>
        <w:rPr>
          <w:rFonts w:ascii="Times New Roman" w:cs="Times New Roman" w:eastAsia="Times New Roman" w:hAnsi="Times New Roman"/>
          <w:sz w:val="16"/>
          <w:szCs w:val="16"/>
          <w:color w:val="auto"/>
        </w:rPr>
        <w:t>2016. Reviewing the types and sizes of spills at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and whether they reach waterways can inform us on the potential risk to surface water. O &amp; G facilities that spill chemicals of Reportable Quantity (RQ) or</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080"/>
        <w:spacing w:after="0"/>
        <w:rPr>
          <w:sz w:val="20"/>
          <w:szCs w:val="20"/>
          <w:color w:val="auto"/>
        </w:rPr>
      </w:pPr>
      <w:r>
        <w:rPr>
          <w:rFonts w:ascii="Arial" w:cs="Arial" w:eastAsia="Arial" w:hAnsi="Arial"/>
          <w:sz w:val="12"/>
          <w:szCs w:val="12"/>
          <w:i w:val="1"/>
          <w:iCs w:val="1"/>
          <w:color w:val="auto"/>
        </w:rPr>
        <w:t>Environmental Science and Policy 76 (2017) 139–145</w:t>
      </w:r>
    </w:p>
    <w:p>
      <w:pPr>
        <w:spacing w:after="0" w:line="333" w:lineRule="exact"/>
        <w:rPr>
          <w:rFonts w:ascii="Times New Roman" w:cs="Times New Roman" w:eastAsia="Times New Roman" w:hAnsi="Times New Roman"/>
          <w:sz w:val="16"/>
          <w:szCs w:val="16"/>
          <w:color w:val="auto"/>
        </w:rPr>
      </w:pPr>
    </w:p>
    <w:p>
      <w:pPr>
        <w:jc w:val="both"/>
        <w:spacing w:after="0" w:line="278" w:lineRule="auto"/>
        <w:rPr>
          <w:sz w:val="20"/>
          <w:szCs w:val="20"/>
          <w:color w:val="auto"/>
        </w:rPr>
      </w:pPr>
      <w:r>
        <w:rPr>
          <w:rFonts w:ascii="Times New Roman" w:cs="Times New Roman" w:eastAsia="Times New Roman" w:hAnsi="Times New Roman"/>
          <w:sz w:val="16"/>
          <w:szCs w:val="16"/>
          <w:color w:val="auto"/>
        </w:rPr>
        <w:t>contribute to a violation of a water quality standard must enroll in the NPDES permit program. The research assessed permit compliance in such cases. Looking at permit compliance is useful in determining if current regulations are capturing entities that should be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ling for a permit.</w:t>
      </w:r>
    </w:p>
    <w:p>
      <w:pPr>
        <w:spacing w:after="0" w:line="192"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We used data from the California O</w:t>
      </w:r>
      <w:r>
        <w:rPr>
          <w:rFonts w:ascii="Arial" w:cs="Arial" w:eastAsia="Arial" w:hAnsi="Arial"/>
          <w:sz w:val="16"/>
          <w:szCs w:val="16"/>
          <w:color w:val="auto"/>
        </w:rPr>
        <w:t>ﬃ</w:t>
      </w:r>
      <w:r>
        <w:rPr>
          <w:rFonts w:ascii="Times New Roman" w:cs="Times New Roman" w:eastAsia="Times New Roman" w:hAnsi="Times New Roman"/>
          <w:sz w:val="16"/>
          <w:szCs w:val="16"/>
          <w:color w:val="auto"/>
        </w:rPr>
        <w:t>ce of Emergency Services (Cal OES) for hazardous material release information. The data was down-loaded in March 2016 from the Cal OES website for the years 2010</w:t>
      </w:r>
      <w:r>
        <w:rPr>
          <w:rFonts w:ascii="Arial" w:cs="Arial" w:eastAsia="Arial" w:hAnsi="Arial"/>
          <w:sz w:val="16"/>
          <w:szCs w:val="16"/>
          <w:color w:val="auto"/>
        </w:rPr>
        <w:t>–</w:t>
      </w:r>
      <w:r>
        <w:rPr>
          <w:rFonts w:ascii="Times New Roman" w:cs="Times New Roman" w:eastAsia="Times New Roman" w:hAnsi="Times New Roman"/>
          <w:sz w:val="16"/>
          <w:szCs w:val="16"/>
          <w:color w:val="auto"/>
        </w:rPr>
        <w:t>2016. The Excel sheets provide spill details including, date, time, location, substance type, amount spilled, and a general description of the cause of the spill. It also provides information on the type of im-mediate impact, including surface water contamination or fatalities and injuries involved. The responsible party and the agency reported to are also listed.</w:t>
      </w:r>
    </w:p>
    <w:p>
      <w:pPr>
        <w:spacing w:after="0" w:line="201"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data was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ltered to include only spills that occurred on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in Kern and Ventura counties. The assumption is that spills entail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The spills were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size. There are no standard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-nitions for small, medium, or large spills. A variation of the United States Coastal Guard (USCG) threshold cuto</w:t>
      </w:r>
      <w:r>
        <w:rPr>
          <w:rFonts w:ascii="Arial" w:cs="Arial" w:eastAsia="Arial" w:hAnsi="Arial"/>
          <w:sz w:val="16"/>
          <w:szCs w:val="16"/>
          <w:color w:val="auto"/>
        </w:rPr>
        <w:t>ﬀ</w:t>
      </w:r>
      <w:r>
        <w:rPr>
          <w:rFonts w:ascii="Times New Roman" w:cs="Times New Roman" w:eastAsia="Times New Roman" w:hAnsi="Times New Roman"/>
          <w:sz w:val="16"/>
          <w:szCs w:val="16"/>
          <w:color w:val="auto"/>
        </w:rPr>
        <w:t>s was used. USCG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a small spill as less than 24 oil barrels (bbl), a medium spill as less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than 240 bbl, and a large spill as greater than or equal to 240 bbl (</w:t>
      </w:r>
      <w:hyperlink w:anchor="page7">
        <w:r>
          <w:rPr>
            <w:rFonts w:ascii="Times New Roman" w:cs="Times New Roman" w:eastAsia="Times New Roman" w:hAnsi="Times New Roman"/>
            <w:sz w:val="16"/>
            <w:szCs w:val="16"/>
            <w:color w:val="004A76"/>
          </w:rPr>
          <w:t>Anderson et al., 2012</w:t>
        </w:r>
      </w:hyperlink>
      <w:r>
        <w:rPr>
          <w:rFonts w:ascii="Times New Roman" w:cs="Times New Roman" w:eastAsia="Times New Roman" w:hAnsi="Times New Roman"/>
          <w:sz w:val="16"/>
          <w:szCs w:val="16"/>
          <w:color w:val="auto"/>
        </w:rPr>
        <w:t>). One bbl represents 42 gallons. Ten bbl was used as the lower end of a small spill because according to California</w:t>
      </w:r>
      <w:r>
        <w:rPr>
          <w:rFonts w:ascii="Arial" w:cs="Arial" w:eastAsia="Arial" w:hAnsi="Arial"/>
          <w:sz w:val="16"/>
          <w:szCs w:val="16"/>
          <w:color w:val="auto"/>
        </w:rPr>
        <w:t>’</w:t>
      </w:r>
      <w:r>
        <w:rPr>
          <w:rFonts w:ascii="Times New Roman" w:cs="Times New Roman" w:eastAsia="Times New Roman" w:hAnsi="Times New Roman"/>
          <w:sz w:val="16"/>
          <w:szCs w:val="16"/>
          <w:color w:val="auto"/>
        </w:rPr>
        <w:t>s Department of Oil, Gas, and Geothermal Resources (DOGGR) it is considered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for spill management purposes (</w:t>
      </w:r>
      <w:hyperlink w:anchor="page7">
        <w:r>
          <w:rPr>
            <w:rFonts w:ascii="Times New Roman" w:cs="Times New Roman" w:eastAsia="Times New Roman" w:hAnsi="Times New Roman"/>
            <w:sz w:val="16"/>
            <w:szCs w:val="16"/>
            <w:color w:val="004A76"/>
          </w:rPr>
          <w:t>Department of</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Conservation, 1998</w:t>
        </w:r>
      </w:hyperlink>
      <w:r>
        <w:rPr>
          <w:rFonts w:ascii="Times New Roman" w:cs="Times New Roman" w:eastAsia="Times New Roman" w:hAnsi="Times New Roman"/>
          <w:sz w:val="16"/>
          <w:szCs w:val="16"/>
          <w:color w:val="000000"/>
        </w:rPr>
        <w:t>). The study also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which spills reached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waterways.</w:t>
      </w:r>
    </w:p>
    <w:p>
      <w:pPr>
        <w:spacing w:after="0" w:line="201"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Once the information on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 spills in Kern County and Ventura County was collected, the</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State Water Resources Control Board</w:t>
        </w:r>
        <w:r>
          <w:rPr>
            <w:rFonts w:ascii="Arial" w:cs="Arial" w:eastAsia="Arial" w:hAnsi="Arial"/>
            <w:sz w:val="16"/>
            <w:szCs w:val="16"/>
            <w:color w:val="004A76"/>
          </w:rPr>
          <w:t>’</w:t>
        </w:r>
        <w:r>
          <w:rPr>
            <w:rFonts w:ascii="Times New Roman" w:cs="Times New Roman" w:eastAsia="Times New Roman" w:hAnsi="Times New Roman"/>
            <w:sz w:val="16"/>
            <w:szCs w:val="16"/>
            <w:color w:val="004A76"/>
          </w:rPr>
          <w:t>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(SWRCB)</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Stormwater Multiple Application and Report Tracking System</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(SMARTS) was used to see which facilities</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led for an Industrial Stormwater General Permit. SMARTS was developed as an online da-tabase for dischargers to electronically</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le their stormwater permit documents. The database was searched using the Standard Industrial Code (SIC) 13xx; this applies to the O &amp; G industry. The time frame of the study was from 2010 to 2016. Some of the information included in the database is the application type (Industrial, No Exposure Certi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etc.), its status (active or terminated), status date, and the op-erator/owner name and address.</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2.3. Analysis of selected spill cases and associated SPCC and SWPP plans</w:t>
      </w:r>
    </w:p>
    <w:p>
      <w:pPr>
        <w:spacing w:after="0" w:line="234"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For the larger spills (those above 10,000 gallons) in Kern and Ventura County corresponding facility SPCC and SWPP plans were re-viewed to see if plans were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enough to prevent such spills. The plans were reviewed to identify and compare the BMPs between SPCC or SWPP plans and see if one plan had more detailed and preventative protocol. Representatives from DOGGR were contacted to obtain the SPCC plans. The SMARTS site was used to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nd the associated SWPP plans.</w:t>
      </w:r>
    </w:p>
    <w:p>
      <w:pPr>
        <w:spacing w:after="0" w:line="200" w:lineRule="exact"/>
        <w:rPr>
          <w:sz w:val="20"/>
          <w:szCs w:val="20"/>
          <w:color w:val="auto"/>
        </w:rPr>
      </w:pPr>
    </w:p>
    <w:p>
      <w:pPr>
        <w:spacing w:after="0" w:line="206" w:lineRule="exact"/>
        <w:rPr>
          <w:sz w:val="20"/>
          <w:szCs w:val="20"/>
          <w:color w:val="auto"/>
        </w:rPr>
      </w:pPr>
    </w:p>
    <w:p>
      <w:pPr>
        <w:ind w:right="120"/>
        <w:spacing w:after="0" w:line="286" w:lineRule="auto"/>
        <w:rPr>
          <w:sz w:val="20"/>
          <w:szCs w:val="20"/>
          <w:color w:val="auto"/>
        </w:rPr>
      </w:pPr>
      <w:r>
        <w:rPr>
          <w:rFonts w:ascii="Times New Roman" w:cs="Times New Roman" w:eastAsia="Times New Roman" w:hAnsi="Times New Roman"/>
          <w:sz w:val="16"/>
          <w:szCs w:val="16"/>
          <w:color w:val="auto"/>
        </w:rPr>
        <w:t>2.4. Oil and gas facility industrial stormwater general permit compliance analysis</w:t>
      </w:r>
    </w:p>
    <w:p>
      <w:pPr>
        <w:spacing w:after="0" w:line="189"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The analysis was done for Kern County and Ventura County, California. Kern County is the main hub of UOG stimulation techniques in California; much of the county is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Ventura County has O &amp; G activity but to a lesser extent than Kern County. It is more re-presentative of an area that has residential, commercial, and industrial areas spread out over a county. According to daily updated well in-formation on California</w:t>
      </w:r>
      <w:r>
        <w:rPr>
          <w:rFonts w:ascii="Arial" w:cs="Arial" w:eastAsia="Arial" w:hAnsi="Arial"/>
          <w:sz w:val="16"/>
          <w:szCs w:val="16"/>
          <w:color w:val="auto"/>
        </w:rPr>
        <w:t>’</w:t>
      </w:r>
      <w:r>
        <w:rPr>
          <w:rFonts w:ascii="Times New Roman" w:cs="Times New Roman" w:eastAsia="Times New Roman" w:hAnsi="Times New Roman"/>
          <w:sz w:val="16"/>
          <w:szCs w:val="16"/>
          <w:color w:val="auto"/>
        </w:rPr>
        <w:t>s Department of Oil, Gas, and Geothermal Resources website there are about 8300 wells in Ventura County and 143,000 wells in Kern County as of June 2017.</w:t>
      </w:r>
    </w:p>
    <w:p>
      <w:pPr>
        <w:spacing w:after="0" w:line="195" w:lineRule="exact"/>
        <w:rPr>
          <w:sz w:val="20"/>
          <w:szCs w:val="20"/>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This analysis looked at how many O &amp; G facilities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an Industrial Stormwater General Permit pre/post the new Industrial Stormwater General Permit requirements for O &amp; G in California. The</w:t>
      </w:r>
    </w:p>
    <w:p>
      <w:pPr>
        <w:spacing w:after="0" w:line="187" w:lineRule="exact"/>
        <w:rPr>
          <w:sz w:val="20"/>
          <w:szCs w:val="20"/>
          <w:color w:val="auto"/>
        </w:rPr>
      </w:pPr>
    </w:p>
    <w:p>
      <w:pPr>
        <w:sectPr>
          <w:pgSz w:w="11900" w:h="15874" w:orient="portrait"/>
          <w:cols w:equalWidth="0" w:num="2">
            <w:col w:w="5020" w:space="360"/>
            <w:col w:w="5020"/>
          </w:cols>
          <w:pgMar w:left="760" w:top="676" w:right="746" w:bottom="3" w:gutter="0" w:footer="0" w:header="0"/>
        </w:sectPr>
      </w:pPr>
    </w:p>
    <w:p>
      <w:pPr>
        <w:jc w:val="center"/>
        <w:ind w:right="20"/>
        <w:spacing w:after="0"/>
        <w:rPr>
          <w:sz w:val="20"/>
          <w:szCs w:val="20"/>
          <w:color w:val="auto"/>
        </w:rPr>
      </w:pPr>
      <w:r>
        <w:rPr>
          <w:rFonts w:ascii="Arial" w:cs="Arial" w:eastAsia="Arial" w:hAnsi="Arial"/>
          <w:sz w:val="13"/>
          <w:szCs w:val="13"/>
          <w:color w:val="auto"/>
        </w:rPr>
        <w:t>141</w:t>
      </w:r>
    </w:p>
    <w:p>
      <w:pPr>
        <w:sectPr>
          <w:pgSz w:w="11900" w:h="15874" w:orient="portrait"/>
          <w:cols w:equalWidth="0" w:num="1">
            <w:col w:w="10400"/>
          </w:cols>
          <w:pgMar w:left="760" w:top="676" w:right="746" w:bottom="3" w:gutter="0" w:footer="0" w:header="0"/>
          <w:type w:val="continuous"/>
        </w:sectPr>
      </w:pPr>
    </w:p>
    <w:bookmarkStart w:id="3" w:name="page4"/>
    <w:bookmarkEnd w:id="3"/>
    <w:p>
      <w:pPr>
        <w:spacing w:after="0"/>
        <w:tabs>
          <w:tab w:leader="none" w:pos="7440" w:val="left"/>
        </w:tabs>
        <w:rPr>
          <w:sz w:val="20"/>
          <w:szCs w:val="20"/>
          <w:color w:val="auto"/>
        </w:rPr>
      </w:pPr>
      <w:r>
        <w:rPr>
          <w:rFonts w:ascii="Times New Roman" w:cs="Times New Roman" w:eastAsia="Times New Roman" w:hAnsi="Times New Roman"/>
          <w:sz w:val="13"/>
          <w:szCs w:val="13"/>
          <w:color w:val="auto"/>
        </w:rPr>
        <w:t>K. Abdullah et al.</w:t>
      </w:r>
      <w:r>
        <w:rPr>
          <w:sz w:val="20"/>
          <w:szCs w:val="20"/>
          <w:color w:val="auto"/>
        </w:rPr>
        <w:tab/>
      </w:r>
      <w:r>
        <w:rPr>
          <w:rFonts w:ascii="Arial" w:cs="Arial" w:eastAsia="Arial" w:hAnsi="Arial"/>
          <w:sz w:val="12"/>
          <w:szCs w:val="12"/>
          <w:i w:val="1"/>
          <w:iCs w:val="1"/>
          <w:color w:val="auto"/>
        </w:rPr>
        <w:t>Environmental Science and Policy 76 (2017) 139–145</w:t>
      </w:r>
    </w:p>
    <w:p>
      <w:pPr>
        <w:sectPr>
          <w:pgSz w:w="11900" w:h="15874" w:orient="portrait"/>
          <w:cols w:equalWidth="0" w:num="1">
            <w:col w:w="10400"/>
          </w:cols>
          <w:pgMar w:left="760" w:top="676" w:right="746" w:bottom="3" w:gutter="0" w:footer="0" w:header="0"/>
        </w:sectPr>
      </w:pPr>
    </w:p>
    <w:p>
      <w:pPr>
        <w:spacing w:after="0" w:line="321"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analysis determined how many facilities had a permit prior to and after July 2015 for Kern and Ventura County.</w:t>
      </w:r>
    </w:p>
    <w:p>
      <w:pPr>
        <w:spacing w:after="0" w:line="1"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Another area of interest is unconventional oil and gas (UOG) sti-mulation. The use of UOG stimulation techniques has increased dra-matically over the last 5 years. Most of the reporting on UOG stimu-lation in California has really only begun in the last 3 years. Reporting on UOG stimulation techniques, including HF, acid fracturing, and matrix acidization, began in 2014 in California through the interim Senate Bill 4 (SB4) and is now required through the SB4 bill as of July 2015. New NPDES Industrial Stormwater General Permit requirements for O &amp; G facilities in California went into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July 2015. This paper documented how permit compliance has changed in relation to UOG exploration. Unless a facility is entirely contained it is likely that all operators would need to be covered by the Industrial Stormwater General Permit post July 2015.</w:t>
      </w:r>
    </w:p>
    <w:p>
      <w:pPr>
        <w:spacing w:after="0" w:line="198"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Industrial Stormwater General Permit information was obtained from the California State Water Board</w:t>
      </w:r>
      <w:r>
        <w:rPr>
          <w:rFonts w:ascii="Arial" w:cs="Arial" w:eastAsia="Arial" w:hAnsi="Arial"/>
          <w:sz w:val="16"/>
          <w:szCs w:val="16"/>
          <w:color w:val="auto"/>
        </w:rPr>
        <w:t>’</w:t>
      </w:r>
      <w:r>
        <w:rPr>
          <w:rFonts w:ascii="Times New Roman" w:cs="Times New Roman" w:eastAsia="Times New Roman" w:hAnsi="Times New Roman"/>
          <w:sz w:val="16"/>
          <w:szCs w:val="16"/>
          <w:color w:val="auto"/>
        </w:rPr>
        <w:t>s SMARTS system using SIC 13xx to narrow down to O &amp; G industry up until April of 2016. To get in-formation on UOG stimulation facilities, a representative at DOGGR gave a list of all the disclosures submitted to them.</w:t>
      </w:r>
    </w:p>
    <w:p>
      <w:pPr>
        <w:spacing w:after="0" w:line="194"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Surface impoundments analysis</w:t>
      </w:r>
    </w:p>
    <w:p>
      <w:pPr>
        <w:spacing w:after="0" w:line="23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the Central Coast most of the active and inactive ponds were unpermitted, and there were enforcement actions against most of them. In the Central Valley about 40% of the ponds were unpermitted, and almost all the ponds had enforcement actions against them. The use of ponds is very pervasive, especially in the Central Valley where most of the O &amp; G exploration and production takes place. There were over 1100 ponds. Unpermitted ponds and ponds violating code indicate that best protocol to protect surface waters from improper containment practices are not in place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7" w:lineRule="exact"/>
        <w:rPr>
          <w:sz w:val="20"/>
          <w:szCs w:val="20"/>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A survey of the literature concluded that there are no current re-ports on surface impoundments. The EPA produced a few reports in the 70 s and early 80 s but none published recently. There were no articles found on surface impoundments and surface water threats.</w: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Oil and gas exploration and production spill analysis results</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are fewer spills in Ventura County compared to Kern County. In Ventura County there were a total of 61 reported spills from January 2010 to March 2016. Of those 61 spills, 7 were of medium size (24</w:t>
      </w:r>
      <w:r>
        <w:rPr>
          <w:rFonts w:ascii="Arial" w:cs="Arial" w:eastAsia="Arial" w:hAnsi="Arial"/>
          <w:sz w:val="16"/>
          <w:szCs w:val="16"/>
          <w:color w:val="auto"/>
        </w:rPr>
        <w:t>–</w:t>
      </w:r>
      <w:r>
        <w:rPr>
          <w:rFonts w:ascii="Times New Roman" w:cs="Times New Roman" w:eastAsia="Times New Roman" w:hAnsi="Times New Roman"/>
          <w:sz w:val="16"/>
          <w:szCs w:val="16"/>
          <w:color w:val="auto"/>
        </w:rPr>
        <w:t>240 bbl) and the rest were small spills. For the medium sized spill, only 1 of the 4 entities responsible had an active permit. There were 22 spills that came in contact with waterways, of which only 1 entity of the 6 responsible had an active permit. There were 14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entities that reported the 61 spills, meaning the same entities had repeated spill instances. The only entity that was covered by the Industrial Stormwater General Permit was California Resources Production Corp. If one assumes that the spills met the reporting requirements, few to no facilities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 permit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197" w:lineRule="exact"/>
        <w:rPr>
          <w:sz w:val="20"/>
          <w:szCs w:val="20"/>
          <w:color w:val="auto"/>
        </w:rPr>
      </w:pPr>
    </w:p>
    <w:p>
      <w:pPr>
        <w:jc w:val="both"/>
        <w:ind w:firstLine="249"/>
        <w:spacing w:after="0" w:line="306" w:lineRule="auto"/>
        <w:rPr>
          <w:sz w:val="20"/>
          <w:szCs w:val="20"/>
          <w:color w:val="auto"/>
        </w:rPr>
      </w:pPr>
      <w:r>
        <w:rPr>
          <w:rFonts w:ascii="Times New Roman" w:cs="Times New Roman" w:eastAsia="Times New Roman" w:hAnsi="Times New Roman"/>
          <w:sz w:val="16"/>
          <w:szCs w:val="16"/>
          <w:color w:val="auto"/>
        </w:rPr>
        <w:t>There were 316 spills in Kern County during the study time frame. Of those 316, 47 were medium sized spills (24</w:t>
      </w:r>
      <w:r>
        <w:rPr>
          <w:rFonts w:ascii="Arial" w:cs="Arial" w:eastAsia="Arial" w:hAnsi="Arial"/>
          <w:sz w:val="16"/>
          <w:szCs w:val="16"/>
          <w:color w:val="auto"/>
        </w:rPr>
        <w:t>–</w:t>
      </w:r>
      <w:r>
        <w:rPr>
          <w:rFonts w:ascii="Times New Roman" w:cs="Times New Roman" w:eastAsia="Times New Roman" w:hAnsi="Times New Roman"/>
          <w:sz w:val="16"/>
          <w:szCs w:val="16"/>
          <w:color w:val="auto"/>
        </w:rPr>
        <w:t>240 bbl) with only one</w:t>
      </w:r>
    </w:p>
    <w:p>
      <w:pPr>
        <w:spacing w:after="0" w:line="186"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SWRCB Oil Field Produced Water Ponds Report as of January 30, 2016.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66675</wp:posOffset>
                </wp:positionV>
                <wp:extent cx="66040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5pt" to="519.65pt,5.25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spacing w:after="0" w:line="30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of the 14 entities responsible for the spills having a Notice of Non-Applicability. A Notice of Non-Applicability would indicate that the site was either enclosed, there was no stormwater discharge/exposure, they were not required to be permitted by federal regulation, they were regulated by another permit, there was a new facility operator or they never operated the facility. There were 10 large spills (&gt; 240 bbl) and only one of the 5 entities responsible had a Notice of Non-applicability. Of the 34 spills that reached waterways, only one of 20 entities re-sponsible had a Notice of Non-applicability. There were a total of 70 entities responsible for the 316 spills, but only 3</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in the NPDES program; Inergy had an Industrial Stormwater General Permit; Schlumberger and Chevron submitted a Notice of Non-Applicability, Chevron being responsible for one of the large, medium, and contact with waterway spills. In Kern County as well only a very small per-centage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 permit.</w:t>
      </w:r>
    </w:p>
    <w:p>
      <w:pPr>
        <w:spacing w:after="0" w:line="206"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For the medium/large spills and/or those that reached waterways, the responsible entity most likely would have needed to notify the Water board and have been enrolled in the NPDES program. However, there is very little overlap between who the polluters were and who is covered by the NPDES permit.</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Analysis of selected spill cases and associated SPCC and SWPP plans</w:t>
      </w:r>
    </w:p>
    <w:p>
      <w:pPr>
        <w:spacing w:after="0" w:line="23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After sorting through the Ventura and Kern County oil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 spills, the 3 largest spills were chosen in each county as case studies. Information about the spills is taken directly from the Cal OES site and is in the tables below (</w:t>
      </w:r>
      <w:hyperlink w:anchor="page7">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largest spills in Ventura County were of medium size. The 3 case studies involved spills of 60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100 bbls of produced water and/or crude oil. Produced water contains many chemicals either from the injected </w:t>
      </w:r>
      <w:r>
        <w:rPr>
          <w:rFonts w:ascii="Arial" w:cs="Arial" w:eastAsia="Arial" w:hAnsi="Arial"/>
          <w:sz w:val="16"/>
          <w:szCs w:val="16"/>
          <w:color w:val="auto"/>
        </w:rPr>
        <w:t>fl</w:t>
      </w:r>
      <w:r>
        <w:rPr>
          <w:rFonts w:ascii="Times New Roman" w:cs="Times New Roman" w:eastAsia="Times New Roman" w:hAnsi="Times New Roman"/>
          <w:sz w:val="16"/>
          <w:szCs w:val="16"/>
          <w:color w:val="auto"/>
        </w:rPr>
        <w:t>uid or formation waters (</w:t>
      </w:r>
      <w:hyperlink w:anchor="page7">
        <w:r>
          <w:rPr>
            <w:rFonts w:ascii="Times New Roman" w:cs="Times New Roman" w:eastAsia="Times New Roman" w:hAnsi="Times New Roman"/>
            <w:sz w:val="16"/>
            <w:szCs w:val="16"/>
            <w:color w:val="004A76"/>
          </w:rPr>
          <w:t>CCST, 2014</w:t>
        </w:r>
      </w:hyperlink>
      <w:r>
        <w:rPr>
          <w:rFonts w:ascii="Times New Roman" w:cs="Times New Roman" w:eastAsia="Times New Roman" w:hAnsi="Times New Roman"/>
          <w:sz w:val="16"/>
          <w:szCs w:val="16"/>
          <w:color w:val="auto"/>
        </w:rPr>
        <w:t>), and it accounts for 96</w:t>
      </w:r>
      <w:r>
        <w:rPr>
          <w:rFonts w:ascii="Arial" w:cs="Arial" w:eastAsia="Arial" w:hAnsi="Arial"/>
          <w:sz w:val="16"/>
          <w:szCs w:val="16"/>
          <w:color w:val="auto"/>
        </w:rPr>
        <w:t>–</w:t>
      </w:r>
      <w:r>
        <w:rPr>
          <w:rFonts w:ascii="Times New Roman" w:cs="Times New Roman" w:eastAsia="Times New Roman" w:hAnsi="Times New Roman"/>
          <w:sz w:val="16"/>
          <w:szCs w:val="16"/>
          <w:color w:val="auto"/>
        </w:rPr>
        <w:t>98%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all O &amp; G wastes (</w:t>
      </w:r>
      <w:hyperlink w:anchor="page7">
        <w:r>
          <w:rPr>
            <w:rFonts w:ascii="Times New Roman" w:cs="Times New Roman" w:eastAsia="Times New Roman" w:hAnsi="Times New Roman"/>
            <w:sz w:val="16"/>
            <w:szCs w:val="16"/>
            <w:color w:val="004A76"/>
          </w:rPr>
          <w:t>Congress of the U.S., O</w:t>
        </w:r>
        <w:r>
          <w:rPr>
            <w:rFonts w:ascii="Arial" w:cs="Arial" w:eastAsia="Arial" w:hAnsi="Arial"/>
            <w:sz w:val="16"/>
            <w:szCs w:val="16"/>
            <w:color w:val="004A76"/>
          </w:rPr>
          <w:t>ﬃ</w:t>
        </w:r>
        <w:r>
          <w:rPr>
            <w:rFonts w:ascii="Times New Roman" w:cs="Times New Roman" w:eastAsia="Times New Roman" w:hAnsi="Times New Roman"/>
            <w:sz w:val="16"/>
            <w:szCs w:val="16"/>
            <w:color w:val="004A76"/>
          </w:rPr>
          <w:t>ce of Technology Assessment,</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1992</w:t>
        </w:r>
      </w:hyperlink>
      <w:r>
        <w:rPr>
          <w:rFonts w:ascii="Times New Roman" w:cs="Times New Roman" w:eastAsia="Times New Roman" w:hAnsi="Times New Roman"/>
          <w:sz w:val="16"/>
          <w:szCs w:val="16"/>
          <w:color w:val="000000"/>
        </w:rPr>
        <w:t>). These medium sized spills were either caused by a faulty pipe/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hose, or build up of pressure; in two of the releases, waterways were reached. California Resources Production Corp was the only entity covered by the NPDES general industrial permit.</w:t>
      </w:r>
    </w:p>
    <w:p>
      <w:pPr>
        <w:spacing w:after="0" w:line="200" w:lineRule="exact"/>
        <w:rPr>
          <w:rFonts w:ascii="Arial" w:cs="Arial" w:eastAsia="Arial" w:hAnsi="Arial"/>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3.3.1. Ventura county facility SPPC and SWPP plans</w:t>
      </w:r>
    </w:p>
    <w:p>
      <w:pPr>
        <w:spacing w:after="0" w:line="25" w:lineRule="exact"/>
        <w:rPr>
          <w:rFonts w:ascii="Arial" w:cs="Arial" w:eastAsia="Arial" w:hAnsi="Arial"/>
          <w:sz w:val="16"/>
          <w:szCs w:val="16"/>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There were no SPCC plans obtained for these three sites. California Resources Production Corp. was the only one with a SWPP plan on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(See Supplemental Section). The SWPP plan had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best man-agement practices listed. Of particular interest were the general BMPs. These included: containing all stored non-solid industrial materials or wastes that can be transported or dispersed by the wind or contact with stormwater during handling; and covering industrial waste disposal containers and industrial material storage containers that contain in-dustrial materials when not in use. The advanced BMP used was berming/containment around tank batteries and well pads. Tank bat-teries are constructed with secondary means of containment with the volume capacity of the containment designed to exceed the contents of the largest tank within the facility and with su</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freeboard to contain precipitation. Well pads are constructed of earthen berms and/ or well cellars to contain liquids on location. There are open drains within the site, which collect miscellaneous</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uids from the containment areas. These drains are piped and transported to a central sump from</w:t>
      </w:r>
    </w:p>
    <w:p>
      <w:pPr>
        <w:spacing w:after="0" w:line="956" w:lineRule="exact"/>
        <w:rPr>
          <w:rFonts w:ascii="Arial" w:cs="Arial" w:eastAsia="Arial" w:hAnsi="Arial"/>
          <w:sz w:val="16"/>
          <w:szCs w:val="16"/>
          <w:color w:val="auto"/>
        </w:rPr>
      </w:pPr>
    </w:p>
    <w:p>
      <w:pPr>
        <w:sectPr>
          <w:pgSz w:w="11900" w:h="15874" w:orient="portrait"/>
          <w:cols w:equalWidth="0" w:num="2">
            <w:col w:w="5020" w:space="360"/>
            <w:col w:w="5020"/>
          </w:cols>
          <w:pgMar w:left="760" w:top="676" w:right="746" w:bottom="3" w:gutter="0" w:footer="0" w:header="0"/>
          <w:type w:val="continuous"/>
        </w:sectPr>
      </w:pPr>
    </w:p>
    <w:tbl>
      <w:tblPr>
        <w:tblLayout w:type="fixed"/>
        <w:tblInd w:w="0" w:type="dxa"/>
        <w:tblCellMar>
          <w:top w:w="0" w:type="dxa"/>
          <w:left w:w="0" w:type="dxa"/>
          <w:bottom w:w="0" w:type="dxa"/>
          <w:right w:w="0" w:type="dxa"/>
        </w:tblCellMar>
      </w:tblPr>
      <w:tr>
        <w:trPr>
          <w:trHeight w:val="156"/>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Regional Water Board</w:t>
            </w:r>
          </w:p>
        </w:tc>
        <w:tc>
          <w:tcPr>
            <w:tcW w:w="920" w:type="dxa"/>
            <w:vAlign w:val="bottom"/>
          </w:tcPr>
          <w:p>
            <w:pPr>
              <w:spacing w:after="0"/>
              <w:rPr>
                <w:sz w:val="20"/>
                <w:szCs w:val="20"/>
                <w:color w:val="auto"/>
              </w:rPr>
            </w:pPr>
            <w:r>
              <w:rPr>
                <w:rFonts w:ascii="Times New Roman" w:cs="Times New Roman" w:eastAsia="Times New Roman" w:hAnsi="Times New Roman"/>
                <w:sz w:val="13"/>
                <w:szCs w:val="13"/>
                <w:color w:val="auto"/>
              </w:rPr>
              <w:t>Active Ponds</w:t>
            </w:r>
          </w:p>
        </w:tc>
        <w:tc>
          <w:tcPr>
            <w:tcW w:w="9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980" w:type="dxa"/>
            <w:vAlign w:val="bottom"/>
          </w:tcPr>
          <w:p>
            <w:pPr>
              <w:spacing w:after="0"/>
              <w:rPr>
                <w:sz w:val="20"/>
                <w:szCs w:val="20"/>
                <w:color w:val="auto"/>
              </w:rPr>
            </w:pPr>
            <w:r>
              <w:rPr>
                <w:rFonts w:ascii="Times New Roman" w:cs="Times New Roman" w:eastAsia="Times New Roman" w:hAnsi="Times New Roman"/>
                <w:sz w:val="13"/>
                <w:szCs w:val="13"/>
                <w:color w:val="auto"/>
              </w:rPr>
              <w:t>Inactive Ponds</w:t>
            </w:r>
          </w:p>
        </w:tc>
        <w:tc>
          <w:tcPr>
            <w:tcW w:w="9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Total Ponds</w:t>
            </w:r>
          </w:p>
        </w:tc>
        <w:tc>
          <w:tcPr>
            <w:tcW w:w="980" w:type="dxa"/>
            <w:vAlign w:val="bottom"/>
          </w:tcPr>
          <w:p>
            <w:pPr>
              <w:spacing w:after="0"/>
              <w:rPr>
                <w:sz w:val="13"/>
                <w:szCs w:val="13"/>
                <w:color w:val="auto"/>
              </w:rPr>
            </w:pPr>
          </w:p>
        </w:tc>
        <w:tc>
          <w:tcPr>
            <w:tcW w:w="1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Enforcement</w:t>
            </w:r>
          </w:p>
        </w:tc>
        <w:tc>
          <w:tcPr>
            <w:tcW w:w="0" w:type="dxa"/>
            <w:vAlign w:val="bottom"/>
          </w:tcPr>
          <w:p>
            <w:pPr>
              <w:spacing w:after="0"/>
              <w:rPr>
                <w:sz w:val="1"/>
                <w:szCs w:val="1"/>
                <w:color w:val="auto"/>
              </w:rPr>
            </w:pPr>
          </w:p>
        </w:tc>
      </w:tr>
      <w:tr>
        <w:trPr>
          <w:trHeight w:val="91"/>
        </w:trPr>
        <w:tc>
          <w:tcPr>
            <w:tcW w:w="1940" w:type="dxa"/>
            <w:vAlign w:val="bottom"/>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580" w:type="dxa"/>
            <w:vAlign w:val="bottom"/>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560" w:type="dxa"/>
            <w:vAlign w:val="bottom"/>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1720" w:type="dxa"/>
            <w:vAlign w:val="bottom"/>
            <w:vMerge w:val="restart"/>
          </w:tcPr>
          <w:p>
            <w:pPr>
              <w:ind w:left="560"/>
              <w:spacing w:after="0"/>
              <w:rPr>
                <w:sz w:val="20"/>
                <w:szCs w:val="20"/>
                <w:color w:val="auto"/>
              </w:rPr>
            </w:pPr>
            <w:r>
              <w:rPr>
                <w:rFonts w:ascii="Times New Roman" w:cs="Times New Roman" w:eastAsia="Times New Roman" w:hAnsi="Times New Roman"/>
                <w:sz w:val="13"/>
                <w:szCs w:val="13"/>
                <w:color w:val="auto"/>
              </w:rPr>
              <w:t>Actions</w:t>
            </w:r>
          </w:p>
        </w:tc>
        <w:tc>
          <w:tcPr>
            <w:tcW w:w="0" w:type="dxa"/>
            <w:vAlign w:val="bottom"/>
          </w:tcPr>
          <w:p>
            <w:pPr>
              <w:spacing w:after="0"/>
              <w:rPr>
                <w:sz w:val="1"/>
                <w:szCs w:val="1"/>
                <w:color w:val="auto"/>
              </w:rPr>
            </w:pPr>
          </w:p>
        </w:tc>
      </w:tr>
      <w:tr>
        <w:trPr>
          <w:trHeight w:val="60"/>
        </w:trPr>
        <w:tc>
          <w:tcPr>
            <w:tcW w:w="1940" w:type="dxa"/>
            <w:vAlign w:val="bottom"/>
          </w:tcPr>
          <w:p>
            <w:pPr>
              <w:spacing w:after="0"/>
              <w:rPr>
                <w:sz w:val="5"/>
                <w:szCs w:val="5"/>
                <w:color w:val="auto"/>
              </w:rPr>
            </w:pPr>
          </w:p>
        </w:tc>
        <w:tc>
          <w:tcPr>
            <w:tcW w:w="92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Permitted</w:t>
            </w:r>
          </w:p>
        </w:tc>
        <w:tc>
          <w:tcPr>
            <w:tcW w:w="94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Un-permitted</w:t>
            </w:r>
          </w:p>
        </w:tc>
        <w:tc>
          <w:tcPr>
            <w:tcW w:w="580" w:type="dxa"/>
            <w:vAlign w:val="bottom"/>
          </w:tcPr>
          <w:p>
            <w:pPr>
              <w:spacing w:after="0"/>
              <w:rPr>
                <w:sz w:val="5"/>
                <w:szCs w:val="5"/>
                <w:color w:val="auto"/>
              </w:rPr>
            </w:pPr>
          </w:p>
        </w:tc>
        <w:tc>
          <w:tcPr>
            <w:tcW w:w="9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Permitted</w:t>
            </w:r>
          </w:p>
        </w:tc>
        <w:tc>
          <w:tcPr>
            <w:tcW w:w="90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Un-permitted</w:t>
            </w:r>
          </w:p>
        </w:tc>
        <w:tc>
          <w:tcPr>
            <w:tcW w:w="560" w:type="dxa"/>
            <w:vAlign w:val="bottom"/>
          </w:tcPr>
          <w:p>
            <w:pPr>
              <w:spacing w:after="0"/>
              <w:rPr>
                <w:sz w:val="5"/>
                <w:szCs w:val="5"/>
                <w:color w:val="auto"/>
              </w:rPr>
            </w:pPr>
          </w:p>
        </w:tc>
        <w:tc>
          <w:tcPr>
            <w:tcW w:w="90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Permitted</w:t>
            </w:r>
          </w:p>
        </w:tc>
        <w:tc>
          <w:tcPr>
            <w:tcW w:w="980" w:type="dxa"/>
            <w:vAlign w:val="bottom"/>
            <w:vMerge w:val="restart"/>
          </w:tcPr>
          <w:p>
            <w:pPr>
              <w:ind w:left="220"/>
              <w:spacing w:after="0"/>
              <w:rPr>
                <w:sz w:val="20"/>
                <w:szCs w:val="20"/>
                <w:color w:val="auto"/>
              </w:rPr>
            </w:pPr>
            <w:r>
              <w:rPr>
                <w:rFonts w:ascii="Times New Roman" w:cs="Times New Roman" w:eastAsia="Times New Roman" w:hAnsi="Times New Roman"/>
                <w:sz w:val="13"/>
                <w:szCs w:val="13"/>
                <w:color w:val="auto"/>
              </w:rPr>
              <w:t>Un-permitted</w:t>
            </w:r>
          </w:p>
        </w:tc>
        <w:tc>
          <w:tcPr>
            <w:tcW w:w="17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0"/>
        </w:trPr>
        <w:tc>
          <w:tcPr>
            <w:tcW w:w="1940" w:type="dxa"/>
            <w:vAlign w:val="bottom"/>
          </w:tcPr>
          <w:p>
            <w:pPr>
              <w:spacing w:after="0"/>
              <w:rPr>
                <w:sz w:val="14"/>
                <w:szCs w:val="14"/>
                <w:color w:val="auto"/>
              </w:rPr>
            </w:pPr>
          </w:p>
        </w:tc>
        <w:tc>
          <w:tcPr>
            <w:tcW w:w="920" w:type="dxa"/>
            <w:vAlign w:val="bottom"/>
            <w:vMerge w:val="continue"/>
          </w:tcPr>
          <w:p>
            <w:pPr>
              <w:spacing w:after="0"/>
              <w:rPr>
                <w:sz w:val="14"/>
                <w:szCs w:val="14"/>
                <w:color w:val="auto"/>
              </w:rPr>
            </w:pPr>
          </w:p>
        </w:tc>
        <w:tc>
          <w:tcPr>
            <w:tcW w:w="940" w:type="dxa"/>
            <w:vAlign w:val="bottom"/>
            <w:vMerge w:val="continue"/>
          </w:tcPr>
          <w:p>
            <w:pPr>
              <w:spacing w:after="0"/>
              <w:rPr>
                <w:sz w:val="14"/>
                <w:szCs w:val="14"/>
                <w:color w:val="auto"/>
              </w:rPr>
            </w:pPr>
          </w:p>
        </w:tc>
        <w:tc>
          <w:tcPr>
            <w:tcW w:w="580" w:type="dxa"/>
            <w:vAlign w:val="bottom"/>
          </w:tcPr>
          <w:p>
            <w:pPr>
              <w:spacing w:after="0"/>
              <w:rPr>
                <w:sz w:val="14"/>
                <w:szCs w:val="14"/>
                <w:color w:val="auto"/>
              </w:rPr>
            </w:pPr>
          </w:p>
        </w:tc>
        <w:tc>
          <w:tcPr>
            <w:tcW w:w="980" w:type="dxa"/>
            <w:vAlign w:val="bottom"/>
            <w:vMerge w:val="continue"/>
          </w:tcPr>
          <w:p>
            <w:pPr>
              <w:spacing w:after="0"/>
              <w:rPr>
                <w:sz w:val="14"/>
                <w:szCs w:val="14"/>
                <w:color w:val="auto"/>
              </w:rPr>
            </w:pPr>
          </w:p>
        </w:tc>
        <w:tc>
          <w:tcPr>
            <w:tcW w:w="900" w:type="dxa"/>
            <w:vAlign w:val="bottom"/>
            <w:vMerge w:val="continue"/>
          </w:tcPr>
          <w:p>
            <w:pPr>
              <w:spacing w:after="0"/>
              <w:rPr>
                <w:sz w:val="14"/>
                <w:szCs w:val="14"/>
                <w:color w:val="auto"/>
              </w:rPr>
            </w:pPr>
          </w:p>
        </w:tc>
        <w:tc>
          <w:tcPr>
            <w:tcW w:w="560" w:type="dxa"/>
            <w:vAlign w:val="bottom"/>
          </w:tcPr>
          <w:p>
            <w:pPr>
              <w:spacing w:after="0"/>
              <w:rPr>
                <w:sz w:val="14"/>
                <w:szCs w:val="14"/>
                <w:color w:val="auto"/>
              </w:rPr>
            </w:pPr>
          </w:p>
        </w:tc>
        <w:tc>
          <w:tcPr>
            <w:tcW w:w="900" w:type="dxa"/>
            <w:vAlign w:val="bottom"/>
            <w:vMerge w:val="continue"/>
          </w:tcPr>
          <w:p>
            <w:pPr>
              <w:spacing w:after="0"/>
              <w:rPr>
                <w:sz w:val="14"/>
                <w:szCs w:val="14"/>
                <w:color w:val="auto"/>
              </w:rPr>
            </w:pPr>
          </w:p>
        </w:tc>
        <w:tc>
          <w:tcPr>
            <w:tcW w:w="980" w:type="dxa"/>
            <w:vAlign w:val="bottom"/>
            <w:vMerge w:val="continue"/>
          </w:tcPr>
          <w:p>
            <w:pPr>
              <w:spacing w:after="0"/>
              <w:rPr>
                <w:sz w:val="14"/>
                <w:szCs w:val="14"/>
                <w:color w:val="auto"/>
              </w:rPr>
            </w:pPr>
          </w:p>
        </w:tc>
        <w:tc>
          <w:tcPr>
            <w:tcW w:w="1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2"/>
        </w:trPr>
        <w:tc>
          <w:tcPr>
            <w:tcW w:w="194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1560" w:type="dxa"/>
            <w:vAlign w:val="bottom"/>
            <w:tcBorders>
              <w:bottom w:val="single" w:sz="8" w:color="auto"/>
            </w:tcBorders>
            <w:gridSpan w:val="2"/>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gridSpan w:val="2"/>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17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8"/>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Central Coast</w:t>
            </w:r>
          </w:p>
        </w:tc>
        <w:tc>
          <w:tcPr>
            <w:tcW w:w="920" w:type="dxa"/>
            <w:vAlign w:val="bottom"/>
          </w:tcPr>
          <w:p>
            <w:pPr>
              <w:spacing w:after="0"/>
              <w:rPr>
                <w:sz w:val="20"/>
                <w:szCs w:val="20"/>
                <w:color w:val="auto"/>
              </w:rPr>
            </w:pPr>
            <w:r>
              <w:rPr>
                <w:rFonts w:ascii="Times New Roman" w:cs="Times New Roman" w:eastAsia="Times New Roman" w:hAnsi="Times New Roman"/>
                <w:sz w:val="13"/>
                <w:szCs w:val="13"/>
                <w:color w:val="auto"/>
              </w:rPr>
              <w:t>3</w:t>
            </w:r>
          </w:p>
        </w:tc>
        <w:tc>
          <w:tcPr>
            <w:tcW w:w="9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41</w:t>
            </w:r>
          </w:p>
        </w:tc>
        <w:tc>
          <w:tcPr>
            <w:tcW w:w="1560" w:type="dxa"/>
            <w:vAlign w:val="bottom"/>
            <w:gridSpan w:val="2"/>
          </w:tcPr>
          <w:p>
            <w:pPr>
              <w:ind w:left="580"/>
              <w:spacing w:after="0"/>
              <w:rPr>
                <w:sz w:val="20"/>
                <w:szCs w:val="20"/>
                <w:color w:val="auto"/>
              </w:rPr>
            </w:pPr>
            <w:r>
              <w:rPr>
                <w:rFonts w:ascii="Times New Roman" w:cs="Times New Roman" w:eastAsia="Times New Roman" w:hAnsi="Times New Roman"/>
                <w:sz w:val="13"/>
                <w:szCs w:val="13"/>
                <w:color w:val="auto"/>
              </w:rPr>
              <w:t>0</w:t>
            </w:r>
          </w:p>
        </w:tc>
        <w:tc>
          <w:tcPr>
            <w:tcW w:w="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w:t>
            </w:r>
          </w:p>
        </w:tc>
        <w:tc>
          <w:tcPr>
            <w:tcW w:w="146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3</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49</w:t>
            </w:r>
          </w:p>
        </w:tc>
        <w:tc>
          <w:tcPr>
            <w:tcW w:w="1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52</w:t>
            </w:r>
          </w:p>
        </w:tc>
        <w:tc>
          <w:tcPr>
            <w:tcW w:w="0" w:type="dxa"/>
            <w:vAlign w:val="bottom"/>
          </w:tcPr>
          <w:p>
            <w:pPr>
              <w:spacing w:after="0"/>
              <w:rPr>
                <w:sz w:val="1"/>
                <w:szCs w:val="1"/>
                <w:color w:val="auto"/>
              </w:rPr>
            </w:pPr>
          </w:p>
        </w:tc>
      </w:tr>
      <w:tr>
        <w:trPr>
          <w:trHeight w:val="171"/>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Central Valley</w:t>
            </w:r>
          </w:p>
        </w:tc>
        <w:tc>
          <w:tcPr>
            <w:tcW w:w="920" w:type="dxa"/>
            <w:vAlign w:val="bottom"/>
          </w:tcPr>
          <w:p>
            <w:pPr>
              <w:spacing w:after="0"/>
              <w:rPr>
                <w:sz w:val="20"/>
                <w:szCs w:val="20"/>
                <w:color w:val="auto"/>
              </w:rPr>
            </w:pPr>
            <w:r>
              <w:rPr>
                <w:rFonts w:ascii="Times New Roman" w:cs="Times New Roman" w:eastAsia="Times New Roman" w:hAnsi="Times New Roman"/>
                <w:sz w:val="13"/>
                <w:szCs w:val="13"/>
                <w:color w:val="auto"/>
              </w:rPr>
              <w:t>530</w:t>
            </w:r>
          </w:p>
        </w:tc>
        <w:tc>
          <w:tcPr>
            <w:tcW w:w="9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162</w:t>
            </w:r>
          </w:p>
        </w:tc>
        <w:tc>
          <w:tcPr>
            <w:tcW w:w="1560" w:type="dxa"/>
            <w:vAlign w:val="bottom"/>
            <w:gridSpan w:val="2"/>
          </w:tcPr>
          <w:p>
            <w:pPr>
              <w:ind w:left="580"/>
              <w:spacing w:after="0"/>
              <w:rPr>
                <w:sz w:val="20"/>
                <w:szCs w:val="20"/>
                <w:color w:val="auto"/>
              </w:rPr>
            </w:pPr>
            <w:r>
              <w:rPr>
                <w:rFonts w:ascii="Times New Roman" w:cs="Times New Roman" w:eastAsia="Times New Roman" w:hAnsi="Times New Roman"/>
                <w:sz w:val="13"/>
                <w:szCs w:val="13"/>
                <w:color w:val="auto"/>
              </w:rPr>
              <w:t>101</w:t>
            </w:r>
          </w:p>
        </w:tc>
        <w:tc>
          <w:tcPr>
            <w:tcW w:w="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269</w:t>
            </w:r>
          </w:p>
        </w:tc>
        <w:tc>
          <w:tcPr>
            <w:tcW w:w="146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631</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431</w:t>
            </w:r>
          </w:p>
        </w:tc>
        <w:tc>
          <w:tcPr>
            <w:tcW w:w="1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1062</w:t>
            </w:r>
          </w:p>
        </w:tc>
        <w:tc>
          <w:tcPr>
            <w:tcW w:w="0" w:type="dxa"/>
            <w:vAlign w:val="bottom"/>
          </w:tcPr>
          <w:p>
            <w:pPr>
              <w:spacing w:after="0"/>
              <w:rPr>
                <w:sz w:val="1"/>
                <w:szCs w:val="1"/>
                <w:color w:val="auto"/>
              </w:rPr>
            </w:pPr>
          </w:p>
        </w:tc>
      </w:tr>
      <w:tr>
        <w:trPr>
          <w:trHeight w:val="171"/>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Total</w:t>
            </w:r>
          </w:p>
        </w:tc>
        <w:tc>
          <w:tcPr>
            <w:tcW w:w="920" w:type="dxa"/>
            <w:vAlign w:val="bottom"/>
          </w:tcPr>
          <w:p>
            <w:pPr>
              <w:spacing w:after="0"/>
              <w:rPr>
                <w:sz w:val="20"/>
                <w:szCs w:val="20"/>
                <w:color w:val="auto"/>
              </w:rPr>
            </w:pPr>
            <w:r>
              <w:rPr>
                <w:rFonts w:ascii="Times New Roman" w:cs="Times New Roman" w:eastAsia="Times New Roman" w:hAnsi="Times New Roman"/>
                <w:sz w:val="13"/>
                <w:szCs w:val="13"/>
                <w:color w:val="auto"/>
              </w:rPr>
              <w:t>533</w:t>
            </w:r>
          </w:p>
        </w:tc>
        <w:tc>
          <w:tcPr>
            <w:tcW w:w="9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203</w:t>
            </w:r>
          </w:p>
        </w:tc>
        <w:tc>
          <w:tcPr>
            <w:tcW w:w="1560" w:type="dxa"/>
            <w:vAlign w:val="bottom"/>
            <w:gridSpan w:val="2"/>
          </w:tcPr>
          <w:p>
            <w:pPr>
              <w:ind w:left="580"/>
              <w:spacing w:after="0"/>
              <w:rPr>
                <w:sz w:val="20"/>
                <w:szCs w:val="20"/>
                <w:color w:val="auto"/>
              </w:rPr>
            </w:pPr>
            <w:r>
              <w:rPr>
                <w:rFonts w:ascii="Times New Roman" w:cs="Times New Roman" w:eastAsia="Times New Roman" w:hAnsi="Times New Roman"/>
                <w:sz w:val="13"/>
                <w:szCs w:val="13"/>
                <w:color w:val="auto"/>
              </w:rPr>
              <w:t>101</w:t>
            </w:r>
          </w:p>
        </w:tc>
        <w:tc>
          <w:tcPr>
            <w:tcW w:w="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277</w:t>
            </w:r>
          </w:p>
        </w:tc>
        <w:tc>
          <w:tcPr>
            <w:tcW w:w="146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634</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480</w:t>
            </w:r>
          </w:p>
        </w:tc>
        <w:tc>
          <w:tcPr>
            <w:tcW w:w="1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1114</w:t>
            </w:r>
          </w:p>
        </w:tc>
        <w:tc>
          <w:tcPr>
            <w:tcW w:w="0" w:type="dxa"/>
            <w:vAlign w:val="bottom"/>
          </w:tcPr>
          <w:p>
            <w:pPr>
              <w:spacing w:after="0"/>
              <w:rPr>
                <w:sz w:val="1"/>
                <w:szCs w:val="1"/>
                <w:color w:val="auto"/>
              </w:rPr>
            </w:pPr>
          </w:p>
        </w:tc>
      </w:tr>
      <w:tr>
        <w:trPr>
          <w:trHeight w:val="106"/>
        </w:trPr>
        <w:tc>
          <w:tcPr>
            <w:tcW w:w="1940" w:type="dxa"/>
            <w:vAlign w:val="bottom"/>
            <w:tcBorders>
              <w:bottom w:val="single" w:sz="8" w:color="auto"/>
            </w:tcBorders>
          </w:tcPr>
          <w:p>
            <w:pPr>
              <w:spacing w:after="0"/>
              <w:rPr>
                <w:sz w:val="9"/>
                <w:szCs w:val="9"/>
                <w:color w:val="auto"/>
              </w:rPr>
            </w:pPr>
          </w:p>
        </w:tc>
        <w:tc>
          <w:tcPr>
            <w:tcW w:w="920" w:type="dxa"/>
            <w:vAlign w:val="bottom"/>
            <w:tcBorders>
              <w:bottom w:val="single" w:sz="8" w:color="auto"/>
            </w:tcBorders>
          </w:tcPr>
          <w:p>
            <w:pPr>
              <w:spacing w:after="0"/>
              <w:rPr>
                <w:sz w:val="9"/>
                <w:szCs w:val="9"/>
                <w:color w:val="auto"/>
              </w:rPr>
            </w:pPr>
          </w:p>
        </w:tc>
        <w:tc>
          <w:tcPr>
            <w:tcW w:w="94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172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rFonts w:ascii="Arial" w:cs="Arial" w:eastAsia="Arial" w:hAnsi="Arial"/>
          <w:sz w:val="16"/>
          <w:szCs w:val="16"/>
          <w:color w:val="auto"/>
        </w:rPr>
      </w:pPr>
    </w:p>
    <w:p>
      <w:pPr>
        <w:sectPr>
          <w:pgSz w:w="11900" w:h="15874" w:orient="portrait"/>
          <w:cols w:equalWidth="0" w:num="1">
            <w:col w:w="10400"/>
          </w:cols>
          <w:pgMar w:left="760" w:top="676" w:right="746" w:bottom="3" w:gutter="0" w:footer="0" w:header="0"/>
          <w:type w:val="continuous"/>
        </w:sectPr>
      </w:pPr>
    </w:p>
    <w:p>
      <w:pPr>
        <w:spacing w:after="0" w:line="267"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3"/>
          <w:szCs w:val="13"/>
          <w:color w:val="auto"/>
        </w:rPr>
        <w:t>142</w:t>
      </w:r>
    </w:p>
    <w:p>
      <w:pPr>
        <w:sectPr>
          <w:pgSz w:w="11900" w:h="15874" w:orient="portrait"/>
          <w:cols w:equalWidth="0" w:num="1">
            <w:col w:w="10400"/>
          </w:cols>
          <w:pgMar w:left="760" w:top="676" w:right="746" w:bottom="3" w:gutter="0" w:footer="0" w:header="0"/>
          <w:type w:val="continuous"/>
        </w:sectPr>
      </w:pPr>
    </w:p>
    <w:bookmarkStart w:id="4" w:name="page5"/>
    <w:bookmarkEnd w:id="4"/>
    <w:p>
      <w:pPr>
        <w:spacing w:after="0"/>
        <w:tabs>
          <w:tab w:leader="none" w:pos="7440" w:val="left"/>
        </w:tabs>
        <w:rPr>
          <w:sz w:val="20"/>
          <w:szCs w:val="20"/>
          <w:color w:val="auto"/>
        </w:rPr>
      </w:pPr>
      <w:r>
        <w:rPr>
          <w:rFonts w:ascii="Times New Roman" w:cs="Times New Roman" w:eastAsia="Times New Roman" w:hAnsi="Times New Roman"/>
          <w:sz w:val="13"/>
          <w:szCs w:val="13"/>
          <w:color w:val="auto"/>
        </w:rPr>
        <w:t>K. Abdullah et al.</w:t>
      </w:r>
      <w:r>
        <w:rPr>
          <w:sz w:val="20"/>
          <w:szCs w:val="20"/>
          <w:color w:val="auto"/>
        </w:rPr>
        <w:tab/>
      </w:r>
      <w:r>
        <w:rPr>
          <w:rFonts w:ascii="Arial" w:cs="Arial" w:eastAsia="Arial" w:hAnsi="Arial"/>
          <w:sz w:val="12"/>
          <w:szCs w:val="12"/>
          <w:i w:val="1"/>
          <w:iCs w:val="1"/>
          <w:color w:val="auto"/>
        </w:rPr>
        <w:t>Environmental Science and Policy 76 (2017) 139–145</w:t>
      </w:r>
    </w:p>
    <w:p>
      <w:pPr>
        <w:spacing w:after="0" w:line="350" w:lineRule="exact"/>
        <w:rPr>
          <w:sz w:val="20"/>
          <w:szCs w:val="20"/>
          <w:color w:val="auto"/>
        </w:rPr>
      </w:pPr>
    </w:p>
    <w:p>
      <w:pPr>
        <w:spacing w:after="0"/>
        <w:rPr>
          <w:sz w:val="20"/>
          <w:szCs w:val="20"/>
          <w:color w:val="auto"/>
        </w:rPr>
      </w:pPr>
      <w:r>
        <w:rPr>
          <w:rFonts w:ascii="Arial" w:cs="Arial" w:eastAsia="Arial" w:hAnsi="Arial"/>
          <w:sz w:val="13"/>
          <w:szCs w:val="13"/>
          <w:color w:val="auto"/>
        </w:rPr>
        <w:t>Table 2</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Oil Field Spill Analysis for Ventura and Kern County, California (January 2010</w:t>
      </w:r>
      <w:r>
        <w:rPr>
          <w:rFonts w:ascii="Arial" w:cs="Arial" w:eastAsia="Arial" w:hAnsi="Arial"/>
          <w:sz w:val="13"/>
          <w:szCs w:val="13"/>
          <w:color w:val="auto"/>
        </w:rPr>
        <w:t>–</w:t>
      </w:r>
      <w:r>
        <w:rPr>
          <w:rFonts w:ascii="Times New Roman" w:cs="Times New Roman" w:eastAsia="Times New Roman" w:hAnsi="Times New Roman"/>
          <w:sz w:val="13"/>
          <w:szCs w:val="13"/>
          <w:color w:val="auto"/>
        </w:rPr>
        <w:t>March 2016).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66040</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pt" to="519.65pt,5.2pt" o:allowincell="f" strokecolor="#000000" strokeweight="0.498pt"/>
            </w:pict>
          </mc:Fallback>
        </mc:AlternateContent>
      </w:r>
    </w:p>
    <w:p>
      <w:pPr>
        <w:spacing w:after="0" w:line="169"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2960" w:type="dxa"/>
            <w:vAlign w:val="bottom"/>
          </w:tcPr>
          <w:p>
            <w:pPr>
              <w:spacing w:after="0"/>
              <w:rPr>
                <w:sz w:val="13"/>
                <w:szCs w:val="13"/>
                <w:color w:val="auto"/>
              </w:rPr>
            </w:pP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Ventura County</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Kern County</w:t>
            </w:r>
          </w:p>
        </w:tc>
      </w:tr>
      <w:tr>
        <w:trPr>
          <w:trHeight w:val="83"/>
        </w:trPr>
        <w:tc>
          <w:tcPr>
            <w:tcW w:w="2960" w:type="dxa"/>
            <w:vAlign w:val="bottom"/>
            <w:tcBorders>
              <w:bottom w:val="single" w:sz="8" w:color="auto"/>
            </w:tcBorders>
          </w:tcPr>
          <w:p>
            <w:pPr>
              <w:spacing w:after="0"/>
              <w:rPr>
                <w:sz w:val="7"/>
                <w:szCs w:val="7"/>
                <w:color w:val="auto"/>
              </w:rPr>
            </w:pPr>
          </w:p>
        </w:tc>
        <w:tc>
          <w:tcPr>
            <w:tcW w:w="2580" w:type="dxa"/>
            <w:vAlign w:val="bottom"/>
            <w:tcBorders>
              <w:bottom w:val="single" w:sz="8" w:color="auto"/>
            </w:tcBorders>
          </w:tcPr>
          <w:p>
            <w:pPr>
              <w:spacing w:after="0"/>
              <w:rPr>
                <w:sz w:val="7"/>
                <w:szCs w:val="7"/>
                <w:color w:val="auto"/>
              </w:rPr>
            </w:pPr>
          </w:p>
        </w:tc>
        <w:tc>
          <w:tcPr>
            <w:tcW w:w="4880" w:type="dxa"/>
            <w:vAlign w:val="bottom"/>
            <w:tcBorders>
              <w:bottom w:val="single" w:sz="8" w:color="auto"/>
            </w:tcBorders>
          </w:tcPr>
          <w:p>
            <w:pPr>
              <w:spacing w:after="0"/>
              <w:rPr>
                <w:sz w:val="7"/>
                <w:szCs w:val="7"/>
                <w:color w:val="auto"/>
              </w:rPr>
            </w:pPr>
          </w:p>
        </w:tc>
      </w:tr>
      <w:tr>
        <w:trPr>
          <w:trHeight w:val="227"/>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of spills</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61</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316</w:t>
            </w:r>
          </w:p>
        </w:tc>
      </w:tr>
      <w:tr>
        <w:trPr>
          <w:trHeight w:val="183"/>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of medium spills (24</w:t>
            </w:r>
            <w:r>
              <w:rPr>
                <w:rFonts w:ascii="Arial" w:cs="Arial" w:eastAsia="Arial" w:hAnsi="Arial"/>
                <w:sz w:val="13"/>
                <w:szCs w:val="13"/>
                <w:color w:val="auto"/>
              </w:rPr>
              <w:t>–</w:t>
            </w:r>
            <w:r>
              <w:rPr>
                <w:rFonts w:ascii="Times New Roman" w:cs="Times New Roman" w:eastAsia="Times New Roman" w:hAnsi="Times New Roman"/>
                <w:sz w:val="13"/>
                <w:szCs w:val="13"/>
                <w:color w:val="auto"/>
              </w:rPr>
              <w:t>240 bbl)</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47</w:t>
            </w:r>
          </w:p>
        </w:tc>
      </w:tr>
      <w:tr>
        <w:trPr>
          <w:trHeight w:val="160"/>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of large spills (</w:t>
            </w:r>
            <w:r>
              <w:rPr>
                <w:rFonts w:ascii="Arial" w:cs="Arial" w:eastAsia="Arial" w:hAnsi="Arial"/>
                <w:sz w:val="13"/>
                <w:szCs w:val="13"/>
                <w:color w:val="auto"/>
              </w:rPr>
              <w:t>≥</w:t>
            </w:r>
            <w:r>
              <w:rPr>
                <w:rFonts w:ascii="Times New Roman" w:cs="Times New Roman" w:eastAsia="Times New Roman" w:hAnsi="Times New Roman"/>
                <w:sz w:val="13"/>
                <w:szCs w:val="13"/>
                <w:color w:val="auto"/>
              </w:rPr>
              <w:t>240 bbl)</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10</w:t>
            </w:r>
          </w:p>
        </w:tc>
      </w:tr>
      <w:tr>
        <w:trPr>
          <w:trHeight w:val="171"/>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in contact w/waterways</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22</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34</w:t>
            </w:r>
          </w:p>
        </w:tc>
      </w:tr>
      <w:tr>
        <w:trPr>
          <w:trHeight w:val="171"/>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facilities/entities reporting spills</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14</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70</w:t>
            </w:r>
          </w:p>
        </w:tc>
      </w:tr>
      <w:tr>
        <w:trPr>
          <w:trHeight w:val="171"/>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Which facility/entity was covered by NPDES</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California Resources Production Corp</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Inergy (Industrial) Schlumberger (Notice of non-applicability) Chevron (Notice</w:t>
            </w:r>
          </w:p>
        </w:tc>
      </w:tr>
      <w:tr>
        <w:trPr>
          <w:trHeight w:val="171"/>
        </w:trPr>
        <w:tc>
          <w:tcPr>
            <w:tcW w:w="29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permit</w:t>
            </w:r>
          </w:p>
        </w:tc>
        <w:tc>
          <w:tcPr>
            <w:tcW w:w="2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(Industrial)</w:t>
            </w:r>
          </w:p>
        </w:tc>
        <w:tc>
          <w:tcPr>
            <w:tcW w:w="488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of non-applicability)</w:t>
            </w:r>
          </w:p>
        </w:tc>
      </w:tr>
      <w:tr>
        <w:trPr>
          <w:trHeight w:val="106"/>
        </w:trPr>
        <w:tc>
          <w:tcPr>
            <w:tcW w:w="2960" w:type="dxa"/>
            <w:vAlign w:val="bottom"/>
            <w:tcBorders>
              <w:bottom w:val="single" w:sz="8" w:color="auto"/>
            </w:tcBorders>
          </w:tcPr>
          <w:p>
            <w:pPr>
              <w:spacing w:after="0"/>
              <w:rPr>
                <w:sz w:val="9"/>
                <w:szCs w:val="9"/>
                <w:color w:val="auto"/>
              </w:rPr>
            </w:pPr>
          </w:p>
        </w:tc>
        <w:tc>
          <w:tcPr>
            <w:tcW w:w="2580" w:type="dxa"/>
            <w:vAlign w:val="bottom"/>
            <w:tcBorders>
              <w:bottom w:val="single" w:sz="8" w:color="auto"/>
            </w:tcBorders>
          </w:tcPr>
          <w:p>
            <w:pPr>
              <w:spacing w:after="0"/>
              <w:rPr>
                <w:sz w:val="9"/>
                <w:szCs w:val="9"/>
                <w:color w:val="auto"/>
              </w:rPr>
            </w:pPr>
          </w:p>
        </w:tc>
        <w:tc>
          <w:tcPr>
            <w:tcW w:w="488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 w:gutter="0" w:footer="0" w:header="0"/>
        </w:sectPr>
      </w:pPr>
    </w:p>
    <w:p>
      <w:pPr>
        <w:spacing w:after="0" w:line="6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which they are pumped for proper disposal. Containment structures are inspected regularly for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ciencies and repairs are made as necessary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The largest spills in Kern County were 500</w:t>
      </w:r>
      <w:r>
        <w:rPr>
          <w:rFonts w:ascii="Arial" w:cs="Arial" w:eastAsia="Arial" w:hAnsi="Arial"/>
          <w:sz w:val="16"/>
          <w:szCs w:val="16"/>
          <w:color w:val="auto"/>
        </w:rPr>
        <w:t>–</w:t>
      </w:r>
      <w:r>
        <w:rPr>
          <w:rFonts w:ascii="Times New Roman" w:cs="Times New Roman" w:eastAsia="Times New Roman" w:hAnsi="Times New Roman"/>
          <w:sz w:val="16"/>
          <w:szCs w:val="16"/>
          <w:color w:val="auto"/>
        </w:rPr>
        <w:t>700 bbl of produced water; the largest of these spills occurring after a rain event. This is just one case that shows that rain events can cause stormwater pollution issues from O &amp; G facilities. Preventing over</w:t>
      </w:r>
      <w:r>
        <w:rPr>
          <w:rFonts w:ascii="Arial" w:cs="Arial" w:eastAsia="Arial" w:hAnsi="Arial"/>
          <w:sz w:val="16"/>
          <w:szCs w:val="16"/>
          <w:color w:val="auto"/>
        </w:rPr>
        <w:t>fl</w:t>
      </w:r>
      <w:r>
        <w:rPr>
          <w:rFonts w:ascii="Times New Roman" w:cs="Times New Roman" w:eastAsia="Times New Roman" w:hAnsi="Times New Roman"/>
          <w:sz w:val="16"/>
          <w:szCs w:val="16"/>
          <w:color w:val="auto"/>
        </w:rPr>
        <w:t>ows from rain events is possible if the facility is entirely covered or contained. The remaining two spills were caused by faulty pipes lines. Only one operator, Chevron USA Inc. had a Notice of Non-Applicability, the others had no permits.</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3.3.2. Kern county facility SPPC and SWPP plans</w:t>
      </w:r>
    </w:p>
    <w:p>
      <w:pPr>
        <w:spacing w:after="0" w:line="26"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There were two associated SPCC plans obtained: one for the Plains All American Pipeline site and the other for Chevron site.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rst SPCC plan had an annual pipeline inspection plan and monthly facility maintenance plan for primarily checking equipment integrity. In ad-dition there was a general spill protocol outlined. There was no dis-cussion of any secondary containment. The SPCC plan was not very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in its prevention protocol. Chevron</w:t>
      </w:r>
      <w:r>
        <w:rPr>
          <w:rFonts w:ascii="Arial" w:cs="Arial" w:eastAsia="Arial" w:hAnsi="Arial"/>
          <w:sz w:val="16"/>
          <w:szCs w:val="16"/>
          <w:color w:val="auto"/>
        </w:rPr>
        <w:t>’</w:t>
      </w:r>
      <w:r>
        <w:rPr>
          <w:rFonts w:ascii="Times New Roman" w:cs="Times New Roman" w:eastAsia="Times New Roman" w:hAnsi="Times New Roman"/>
          <w:sz w:val="16"/>
          <w:szCs w:val="16"/>
          <w:color w:val="auto"/>
        </w:rPr>
        <w:t>s SPCC plan had similar spill and maintenance protocol, but the site was designed with con-tainment berms and had a valve shut-o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protocol. Because the facility was entirely contained Chevron appropriately</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 Notice of Non-Applicability. In this case the site was contained and the spill did not cause a threat to surface waters. As for SWPP plans there were none found for the spill sites of concern.</w:t>
      </w:r>
    </w:p>
    <w:p>
      <w:pPr>
        <w:spacing w:after="0" w:line="205"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There were not enough reports to make any clear conclusion about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of SWPP plans versus SPPC plans. On a theoretical level SWPP plans should provide a more detailed assessment of potential sources of pollutants in 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as well as measures to minimize the discharge of these pollutants. The Industrial Stormwater General Permit also requires collection of visual, analytical, and/or compliance monitoring data to determine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ectiveness of im-plemented BMPs.</w:t>
      </w:r>
    </w:p>
    <w:p>
      <w:pPr>
        <w:spacing w:after="0" w:line="195"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Ideally, there needs to be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guidance and requirements for O &amp; G facilities to prevent spill and over</w:t>
      </w:r>
      <w:r>
        <w:rPr>
          <w:rFonts w:ascii="Arial" w:cs="Arial" w:eastAsia="Arial" w:hAnsi="Arial"/>
          <w:sz w:val="16"/>
          <w:szCs w:val="16"/>
          <w:color w:val="auto"/>
        </w:rPr>
        <w:t>fl</w:t>
      </w:r>
      <w:r>
        <w:rPr>
          <w:rFonts w:ascii="Times New Roman" w:cs="Times New Roman" w:eastAsia="Times New Roman" w:hAnsi="Times New Roman"/>
          <w:sz w:val="16"/>
          <w:szCs w:val="16"/>
          <w:color w:val="auto"/>
        </w:rPr>
        <w:t>ow. Currently there are no 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requirements. EPA has a list of BMPS for potential pollutant sources at oil and gas extraction facilities (</w:t>
      </w:r>
      <w:hyperlink w:anchor="page7">
        <w:r>
          <w:rPr>
            <w:rFonts w:ascii="Times New Roman" w:cs="Times New Roman" w:eastAsia="Times New Roman" w:hAnsi="Times New Roman"/>
            <w:sz w:val="16"/>
            <w:szCs w:val="16"/>
            <w:color w:val="004A76"/>
          </w:rPr>
          <w:t>US EPA, 2006</w:t>
        </w:r>
      </w:hyperlink>
      <w:r>
        <w:rPr>
          <w:rFonts w:ascii="Times New Roman" w:cs="Times New Roman" w:eastAsia="Times New Roman" w:hAnsi="Times New Roman"/>
          <w:sz w:val="16"/>
          <w:szCs w:val="16"/>
          <w:color w:val="auto"/>
        </w:rPr>
        <w:t>), as well as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guidance for oil and gas construction sites pro-vided by the Independent Petroleum Association of America (</w:t>
      </w:r>
      <w:hyperlink w:anchor="page7">
        <w:r>
          <w:rPr>
            <w:rFonts w:ascii="Times New Roman" w:cs="Times New Roman" w:eastAsia="Times New Roman" w:hAnsi="Times New Roman"/>
            <w:sz w:val="16"/>
            <w:szCs w:val="16"/>
            <w:color w:val="004A76"/>
          </w:rPr>
          <w:t>IPAA,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2004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309"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3"/>
          <w:szCs w:val="13"/>
          <w:color w:val="auto"/>
        </w:rPr>
        <w:t>Table 3</w:t>
      </w:r>
    </w:p>
    <w:p>
      <w:pPr>
        <w:spacing w:after="0" w:line="2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3"/>
          <w:szCs w:val="13"/>
          <w:color w:val="auto"/>
        </w:rPr>
        <w:t>Ventura County Medium Sized Spills.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66675</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5pt" to="519.65pt,5.25pt" o:allowincell="f" strokecolor="#000000" strokeweight="0.498pt"/>
            </w:pict>
          </mc:Fallback>
        </mc:AlternateConten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43" w:lineRule="exact"/>
        <w:rPr>
          <w:rFonts w:ascii="Times New Roman" w:cs="Times New Roman" w:eastAsia="Times New Roman" w:hAnsi="Times New Roman"/>
          <w:sz w:val="16"/>
          <w:szCs w:val="16"/>
          <w:color w:val="auto"/>
        </w:rPr>
      </w:pPr>
    </w:p>
    <w:p>
      <w:pPr>
        <w:ind w:right="40"/>
        <w:spacing w:after="0" w:line="288" w:lineRule="auto"/>
        <w:rPr>
          <w:sz w:val="20"/>
          <w:szCs w:val="20"/>
          <w:color w:val="auto"/>
        </w:rPr>
      </w:pPr>
      <w:r>
        <w:rPr>
          <w:rFonts w:ascii="Times New Roman" w:cs="Times New Roman" w:eastAsia="Times New Roman" w:hAnsi="Times New Roman"/>
          <w:sz w:val="16"/>
          <w:szCs w:val="16"/>
          <w:color w:val="auto"/>
        </w:rPr>
        <w:t>3.4. Oil and gas exploration and production industrial stormwater general permit compliance analysis</w:t>
      </w:r>
    </w:p>
    <w:p>
      <w:pPr>
        <w:spacing w:after="0" w:line="187"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study also looked at Ventura and Kern County</w:t>
      </w:r>
      <w:r>
        <w:rPr>
          <w:rFonts w:ascii="Arial" w:cs="Arial" w:eastAsia="Arial" w:hAnsi="Arial"/>
          <w:sz w:val="16"/>
          <w:szCs w:val="16"/>
          <w:color w:val="auto"/>
        </w:rPr>
        <w:t>’</w:t>
      </w:r>
      <w:r>
        <w:rPr>
          <w:rFonts w:ascii="Times New Roman" w:cs="Times New Roman" w:eastAsia="Times New Roman" w:hAnsi="Times New Roman"/>
          <w:sz w:val="16"/>
          <w:szCs w:val="16"/>
          <w:color w:val="auto"/>
        </w:rPr>
        <w:t>s active O &amp; G facilities to see how many</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an Industrial Stormwater General Permit pre/post the new requirements. This covered until March of 2016. In Ventura County there were 36 Active permits, 10 of those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post July 2015. This is a substantial percentage (28%) that enrolled in a short time frame of 8 months (July 2015</w:t>
      </w:r>
      <w:r>
        <w:rPr>
          <w:rFonts w:ascii="Arial" w:cs="Arial" w:eastAsia="Arial" w:hAnsi="Arial"/>
          <w:sz w:val="16"/>
          <w:szCs w:val="16"/>
          <w:color w:val="auto"/>
        </w:rPr>
        <w:t>–</w:t>
      </w:r>
      <w:r>
        <w:rPr>
          <w:rFonts w:ascii="Times New Roman" w:cs="Times New Roman" w:eastAsia="Times New Roman" w:hAnsi="Times New Roman"/>
          <w:sz w:val="16"/>
          <w:szCs w:val="16"/>
          <w:color w:val="auto"/>
        </w:rPr>
        <w:t>March 2016) after the new permit requirements. In Kern County there were 45 Active NPDES permits; 27 of those were post the new requirements. In Kern County 60% enrolled after the new order. The new Industrial Stormwater General Permit requirements had a large proportion of operators enroll in the program in a short time span. Surprisingly, facilities where spills occurred did not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permits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w:t>
      </w:r>
    </w:p>
    <w:p>
      <w:pPr>
        <w:spacing w:after="0" w:line="204"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were 9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UOG stimulation facilities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ling for well stimulation permits with DOGGR prior to the new Industrial Stormwater General Permit requirements and only one applied for a Notice of Non-applicability. About 10% of operators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 permit. After the new requirements, there were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entities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ling for well stimulation permits with DOGGR; two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an Industrial Stormwater General Permit, and one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a Notice of Non-applicability. Post new requirements, 60% of the UOG facilities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a permit (</w:t>
      </w:r>
      <w:hyperlink w:anchor="page7">
        <w:r>
          <w:rPr>
            <w:rFonts w:ascii="Times New Roman" w:cs="Times New Roman" w:eastAsia="Times New Roman" w:hAnsi="Times New Roman"/>
            <w:sz w:val="16"/>
            <w:szCs w:val="16"/>
            <w:color w:val="004A76"/>
          </w:rPr>
          <w:t>Table 6</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79"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4. Discussion and recommendations</w:t>
      </w:r>
    </w:p>
    <w:p>
      <w:pPr>
        <w:spacing w:after="0" w:line="237" w:lineRule="exact"/>
        <w:rPr>
          <w:rFonts w:ascii="Times New Roman" w:cs="Times New Roman" w:eastAsia="Times New Roman" w:hAnsi="Times New Roman"/>
          <w:sz w:val="16"/>
          <w:szCs w:val="16"/>
          <w:color w:val="auto"/>
        </w:rPr>
      </w:pPr>
    </w:p>
    <w:p>
      <w:pPr>
        <w:jc w:val="both"/>
        <w:ind w:firstLine="249"/>
        <w:spacing w:after="0" w:line="272" w:lineRule="auto"/>
        <w:rPr>
          <w:sz w:val="20"/>
          <w:szCs w:val="20"/>
          <w:color w:val="auto"/>
        </w:rPr>
      </w:pPr>
      <w:r>
        <w:rPr>
          <w:rFonts w:ascii="Times New Roman" w:cs="Times New Roman" w:eastAsia="Times New Roman" w:hAnsi="Times New Roman"/>
          <w:sz w:val="16"/>
          <w:szCs w:val="16"/>
          <w:color w:val="auto"/>
        </w:rPr>
        <w:t>The results on surface ponds, spills, and permit compliance show some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ways that regulations can be improved.</w:t>
      </w:r>
    </w:p>
    <w:p>
      <w:pPr>
        <w:spacing w:after="0" w:line="1" w:lineRule="exact"/>
        <w:rPr>
          <w:rFonts w:ascii="Times New Roman" w:cs="Times New Roman" w:eastAsia="Times New Roman" w:hAnsi="Times New Roman"/>
          <w:sz w:val="16"/>
          <w:szCs w:val="16"/>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Surface impoundments at O &amp; G facilities can be a serious threat to waterways. In California there are thousands of these impoundments, currently most are unlined and many are unpermitted. Almost all are in some sort of violation. Proper oversight and development of surface impoundments is needed. Many states have banned the use of surface impoundments for the many problems associated with them, over</w:t>
      </w:r>
      <w:r>
        <w:rPr>
          <w:rFonts w:ascii="Arial" w:cs="Arial" w:eastAsia="Arial" w:hAnsi="Arial"/>
          <w:sz w:val="16"/>
          <w:szCs w:val="16"/>
          <w:color w:val="auto"/>
        </w:rPr>
        <w:t>fl</w:t>
      </w:r>
      <w:r>
        <w:rPr>
          <w:rFonts w:ascii="Times New Roman" w:cs="Times New Roman" w:eastAsia="Times New Roman" w:hAnsi="Times New Roman"/>
          <w:sz w:val="16"/>
          <w:szCs w:val="16"/>
          <w:color w:val="auto"/>
        </w:rPr>
        <w:t>ows being one of them.</w:t>
      </w:r>
    </w:p>
    <w:p>
      <w:pPr>
        <w:spacing w:after="0" w:line="193" w:lineRule="exact"/>
        <w:rPr>
          <w:rFonts w:ascii="Times New Roman" w:cs="Times New Roman" w:eastAsia="Times New Roman" w:hAnsi="Times New Roman"/>
          <w:sz w:val="16"/>
          <w:szCs w:val="16"/>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Spills, although not a direct indication of stormwater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can give some idea of potential polluted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that should be regulated. If we assume the medium and large spills in this study that reached wa-terways violated a water quality standard then those facilities must have an active permit on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However, what we see is that most of</w:t>
      </w:r>
    </w:p>
    <w:p>
      <w:pPr>
        <w:spacing w:after="0" w:line="741"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 w:gutter="0" w:footer="0" w:header="0"/>
          <w:type w:val="continuous"/>
        </w:sectPr>
      </w:pPr>
    </w:p>
    <w:tbl>
      <w:tblPr>
        <w:tblLayout w:type="fixed"/>
        <w:tblInd w:w="0" w:type="dxa"/>
        <w:tblCellMar>
          <w:top w:w="0" w:type="dxa"/>
          <w:left w:w="0" w:type="dxa"/>
          <w:bottom w:w="0" w:type="dxa"/>
          <w:right w:w="0" w:type="dxa"/>
        </w:tblCellMar>
      </w:tblPr>
      <w:tr>
        <w:trPr>
          <w:trHeight w:val="156"/>
        </w:trPr>
        <w:tc>
          <w:tcPr>
            <w:tcW w:w="1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Entity</w:t>
            </w:r>
          </w:p>
        </w:tc>
        <w:tc>
          <w:tcPr>
            <w:tcW w:w="19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Permit Status</w:t>
            </w: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Spill Size</w:t>
            </w: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Spill Description</w:t>
            </w:r>
          </w:p>
        </w:tc>
      </w:tr>
      <w:tr>
        <w:trPr>
          <w:trHeight w:val="83"/>
        </w:trPr>
        <w:tc>
          <w:tcPr>
            <w:tcW w:w="1960" w:type="dxa"/>
            <w:vAlign w:val="bottom"/>
            <w:tcBorders>
              <w:bottom w:val="single" w:sz="8" w:color="auto"/>
            </w:tcBorders>
          </w:tcPr>
          <w:p>
            <w:pPr>
              <w:spacing w:after="0"/>
              <w:rPr>
                <w:sz w:val="7"/>
                <w:szCs w:val="7"/>
                <w:color w:val="auto"/>
              </w:rPr>
            </w:pPr>
          </w:p>
        </w:tc>
        <w:tc>
          <w:tcPr>
            <w:tcW w:w="190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5160" w:type="dxa"/>
            <w:vAlign w:val="bottom"/>
            <w:tcBorders>
              <w:bottom w:val="single" w:sz="8" w:color="auto"/>
            </w:tcBorders>
          </w:tcPr>
          <w:p>
            <w:pPr>
              <w:spacing w:after="0"/>
              <w:rPr>
                <w:sz w:val="7"/>
                <w:szCs w:val="7"/>
                <w:color w:val="auto"/>
              </w:rPr>
            </w:pPr>
          </w:p>
        </w:tc>
      </w:tr>
      <w:tr>
        <w:trPr>
          <w:trHeight w:val="239"/>
        </w:trPr>
        <w:tc>
          <w:tcPr>
            <w:tcW w:w="1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California Resources</w:t>
            </w:r>
          </w:p>
        </w:tc>
        <w:tc>
          <w:tcPr>
            <w:tcW w:w="19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Active Industrial Stormwater</w:t>
            </w: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100 bbl produced</w:t>
            </w: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A hole in a 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pipe caused a spill onto a private road on the leased property (oil</w:t>
            </w:r>
          </w:p>
        </w:tc>
      </w:tr>
      <w:tr>
        <w:trPr>
          <w:trHeight w:val="159"/>
        </w:trPr>
        <w:tc>
          <w:tcPr>
            <w:tcW w:w="19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Production Corp.</w:t>
            </w:r>
          </w:p>
        </w:tc>
        <w:tc>
          <w:tcPr>
            <w:tcW w:w="19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General Permit</w:t>
            </w: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water</w:t>
            </w: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production lease); some release entered a nearby metal culvert and then into a soil</w:t>
            </w:r>
          </w:p>
        </w:tc>
      </w:tr>
      <w:tr>
        <w:trPr>
          <w:trHeight w:val="171"/>
        </w:trPr>
        <w:tc>
          <w:tcPr>
            <w:tcW w:w="19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1400" w:type="dxa"/>
            <w:vAlign w:val="bottom"/>
          </w:tcPr>
          <w:p>
            <w:pPr>
              <w:spacing w:after="0"/>
              <w:rPr>
                <w:sz w:val="14"/>
                <w:szCs w:val="14"/>
                <w:color w:val="auto"/>
              </w:rPr>
            </w:pP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ravine.</w:t>
            </w:r>
          </w:p>
        </w:tc>
      </w:tr>
      <w:tr>
        <w:trPr>
          <w:trHeight w:val="171"/>
        </w:trPr>
        <w:tc>
          <w:tcPr>
            <w:tcW w:w="1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Vintage Productions California</w:t>
            </w:r>
          </w:p>
        </w:tc>
        <w:tc>
          <w:tcPr>
            <w:tcW w:w="19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Terminated Permit</w:t>
            </w: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65 bbl crude oil</w:t>
            </w: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During hydrotesting of a line, built up pressure caused a spray of oil and water onto</w:t>
            </w:r>
          </w:p>
        </w:tc>
      </w:tr>
      <w:tr>
        <w:trPr>
          <w:trHeight w:val="172"/>
        </w:trPr>
        <w:tc>
          <w:tcPr>
            <w:tcW w:w="19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1400" w:type="dxa"/>
            <w:vAlign w:val="bottom"/>
          </w:tcPr>
          <w:p>
            <w:pPr>
              <w:spacing w:after="0"/>
              <w:rPr>
                <w:sz w:val="14"/>
                <w:szCs w:val="14"/>
                <w:color w:val="auto"/>
              </w:rPr>
            </w:pP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trees over a dry creek bed.</w:t>
            </w:r>
          </w:p>
        </w:tc>
      </w:tr>
      <w:tr>
        <w:trPr>
          <w:trHeight w:val="171"/>
        </w:trPr>
        <w:tc>
          <w:tcPr>
            <w:tcW w:w="1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Vintage Production LLC</w:t>
            </w:r>
          </w:p>
        </w:tc>
        <w:tc>
          <w:tcPr>
            <w:tcW w:w="19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Terminated Permit</w:t>
            </w: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60 bbl produced</w:t>
            </w:r>
          </w:p>
        </w:tc>
        <w:tc>
          <w:tcPr>
            <w:tcW w:w="51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A broken hose caused this release.</w:t>
            </w:r>
          </w:p>
        </w:tc>
      </w:tr>
      <w:tr>
        <w:trPr>
          <w:trHeight w:val="171"/>
        </w:trPr>
        <w:tc>
          <w:tcPr>
            <w:tcW w:w="19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14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water/crude oil</w:t>
            </w:r>
          </w:p>
        </w:tc>
        <w:tc>
          <w:tcPr>
            <w:tcW w:w="5160" w:type="dxa"/>
            <w:vAlign w:val="bottom"/>
          </w:tcPr>
          <w:p>
            <w:pPr>
              <w:spacing w:after="0"/>
              <w:rPr>
                <w:sz w:val="14"/>
                <w:szCs w:val="14"/>
                <w:color w:val="auto"/>
              </w:rPr>
            </w:pPr>
          </w:p>
        </w:tc>
      </w:tr>
      <w:tr>
        <w:trPr>
          <w:trHeight w:val="106"/>
        </w:trPr>
        <w:tc>
          <w:tcPr>
            <w:tcW w:w="1960" w:type="dxa"/>
            <w:vAlign w:val="bottom"/>
            <w:tcBorders>
              <w:bottom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5160" w:type="dxa"/>
            <w:vAlign w:val="bottom"/>
            <w:tcBorders>
              <w:bottom w:val="single" w:sz="8" w:color="auto"/>
            </w:tcBorders>
          </w:tcPr>
          <w:p>
            <w:pPr>
              <w:spacing w:after="0"/>
              <w:rPr>
                <w:sz w:val="9"/>
                <w:szCs w:val="9"/>
                <w:color w:val="auto"/>
              </w:rPr>
            </w:pPr>
          </w:p>
        </w:tc>
      </w:tr>
    </w:tbl>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1">
            <w:col w:w="10400"/>
          </w:cols>
          <w:pgMar w:left="760" w:top="676" w:right="746" w:bottom="3" w:gutter="0" w:footer="0" w:header="0"/>
          <w:type w:val="continuous"/>
        </w:sectPr>
      </w:pPr>
    </w:p>
    <w:p>
      <w:pPr>
        <w:spacing w:after="0" w:line="340"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3"/>
          <w:szCs w:val="13"/>
          <w:color w:val="auto"/>
        </w:rPr>
        <w:t>143</w:t>
      </w:r>
    </w:p>
    <w:p>
      <w:pPr>
        <w:sectPr>
          <w:pgSz w:w="11900" w:h="15874" w:orient="portrait"/>
          <w:cols w:equalWidth="0" w:num="1">
            <w:col w:w="10400"/>
          </w:cols>
          <w:pgMar w:left="760" w:top="676" w:right="746" w:bottom="3"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31"/>
        </w:trPr>
        <w:tc>
          <w:tcPr>
            <w:tcW w:w="1480" w:type="dxa"/>
            <w:vAlign w:val="bottom"/>
          </w:tcPr>
          <w:p>
            <w:pPr>
              <w:spacing w:after="0"/>
              <w:rPr>
                <w:sz w:val="20"/>
                <w:szCs w:val="20"/>
                <w:color w:val="auto"/>
              </w:rPr>
            </w:pPr>
            <w:r>
              <w:rPr>
                <w:rFonts w:ascii="Times New Roman" w:cs="Times New Roman" w:eastAsia="Times New Roman" w:hAnsi="Times New Roman"/>
                <w:sz w:val="13"/>
                <w:szCs w:val="13"/>
                <w:color w:val="auto"/>
              </w:rPr>
              <w:t>K. Abdullah et al.</w:t>
            </w:r>
          </w:p>
        </w:tc>
        <w:tc>
          <w:tcPr>
            <w:tcW w:w="1440" w:type="dxa"/>
            <w:vAlign w:val="bottom"/>
          </w:tcPr>
          <w:p>
            <w:pPr>
              <w:spacing w:after="0"/>
              <w:rPr>
                <w:sz w:val="20"/>
                <w:szCs w:val="20"/>
                <w:color w:val="auto"/>
              </w:rPr>
            </w:pPr>
          </w:p>
        </w:tc>
        <w:tc>
          <w:tcPr>
            <w:tcW w:w="2060" w:type="dxa"/>
            <w:vAlign w:val="bottom"/>
          </w:tcPr>
          <w:p>
            <w:pPr>
              <w:spacing w:after="0"/>
              <w:rPr>
                <w:sz w:val="20"/>
                <w:szCs w:val="20"/>
                <w:color w:val="auto"/>
              </w:rPr>
            </w:pPr>
          </w:p>
        </w:tc>
        <w:tc>
          <w:tcPr>
            <w:tcW w:w="5440" w:type="dxa"/>
            <w:vAlign w:val="bottom"/>
          </w:tcPr>
          <w:p>
            <w:pPr>
              <w:ind w:left="2480"/>
              <w:spacing w:after="0"/>
              <w:rPr>
                <w:sz w:val="20"/>
                <w:szCs w:val="20"/>
                <w:color w:val="auto"/>
              </w:rPr>
            </w:pPr>
            <w:r>
              <w:rPr>
                <w:rFonts w:ascii="Arial" w:cs="Arial" w:eastAsia="Arial" w:hAnsi="Arial"/>
                <w:sz w:val="13"/>
                <w:szCs w:val="13"/>
                <w:i w:val="1"/>
                <w:iCs w:val="1"/>
                <w:color w:val="auto"/>
                <w:w w:val="94"/>
              </w:rPr>
              <w:t>Environmental Science and Policy 76 (2017) 139–145</w:t>
            </w:r>
          </w:p>
        </w:tc>
      </w:tr>
      <w:tr>
        <w:trPr>
          <w:trHeight w:val="428"/>
        </w:trPr>
        <w:tc>
          <w:tcPr>
            <w:tcW w:w="1480" w:type="dxa"/>
            <w:vAlign w:val="bottom"/>
          </w:tcPr>
          <w:p>
            <w:pPr>
              <w:spacing w:after="0"/>
              <w:rPr>
                <w:sz w:val="20"/>
                <w:szCs w:val="20"/>
                <w:color w:val="auto"/>
              </w:rPr>
            </w:pPr>
            <w:r>
              <w:rPr>
                <w:rFonts w:ascii="Arial" w:cs="Arial" w:eastAsia="Arial" w:hAnsi="Arial"/>
                <w:sz w:val="13"/>
                <w:szCs w:val="13"/>
                <w:color w:val="auto"/>
              </w:rPr>
              <w:t>Table 4</w:t>
            </w:r>
          </w:p>
        </w:tc>
        <w:tc>
          <w:tcPr>
            <w:tcW w:w="144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5440" w:type="dxa"/>
            <w:vAlign w:val="bottom"/>
          </w:tcPr>
          <w:p>
            <w:pPr>
              <w:spacing w:after="0"/>
              <w:rPr>
                <w:sz w:val="24"/>
                <w:szCs w:val="24"/>
                <w:color w:val="auto"/>
              </w:rPr>
            </w:pPr>
          </w:p>
        </w:tc>
      </w:tr>
      <w:tr>
        <w:trPr>
          <w:trHeight w:val="171"/>
        </w:trPr>
        <w:tc>
          <w:tcPr>
            <w:tcW w:w="29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Kern County Large Sized Spills.</w:t>
            </w:r>
          </w:p>
        </w:tc>
        <w:tc>
          <w:tcPr>
            <w:tcW w:w="2060" w:type="dxa"/>
            <w:vAlign w:val="bottom"/>
          </w:tcPr>
          <w:p>
            <w:pPr>
              <w:spacing w:after="0"/>
              <w:rPr>
                <w:sz w:val="14"/>
                <w:szCs w:val="14"/>
                <w:color w:val="auto"/>
              </w:rPr>
            </w:pPr>
          </w:p>
        </w:tc>
        <w:tc>
          <w:tcPr>
            <w:tcW w:w="5440" w:type="dxa"/>
            <w:vAlign w:val="bottom"/>
          </w:tcPr>
          <w:p>
            <w:pPr>
              <w:spacing w:after="0"/>
              <w:rPr>
                <w:sz w:val="14"/>
                <w:szCs w:val="14"/>
                <w:color w:val="auto"/>
              </w:rPr>
            </w:pPr>
          </w:p>
        </w:tc>
      </w:tr>
      <w:tr>
        <w:trPr>
          <w:trHeight w:val="93"/>
        </w:trPr>
        <w:tc>
          <w:tcPr>
            <w:tcW w:w="1480" w:type="dxa"/>
            <w:vAlign w:val="bottom"/>
            <w:tcBorders>
              <w:bottom w:val="single" w:sz="8" w:color="auto"/>
            </w:tcBorders>
          </w:tcPr>
          <w:p>
            <w:pPr>
              <w:spacing w:after="0"/>
              <w:rPr>
                <w:sz w:val="8"/>
                <w:szCs w:val="8"/>
                <w:color w:val="auto"/>
              </w:rPr>
            </w:pPr>
          </w:p>
        </w:tc>
        <w:tc>
          <w:tcPr>
            <w:tcW w:w="1440" w:type="dxa"/>
            <w:vAlign w:val="bottom"/>
            <w:tcBorders>
              <w:bottom w:val="single" w:sz="8" w:color="auto"/>
            </w:tcBorders>
          </w:tcPr>
          <w:p>
            <w:pPr>
              <w:spacing w:after="0"/>
              <w:rPr>
                <w:sz w:val="8"/>
                <w:szCs w:val="8"/>
                <w:color w:val="auto"/>
              </w:rPr>
            </w:pPr>
          </w:p>
        </w:tc>
        <w:tc>
          <w:tcPr>
            <w:tcW w:w="2060" w:type="dxa"/>
            <w:vAlign w:val="bottom"/>
            <w:tcBorders>
              <w:bottom w:val="single" w:sz="8" w:color="auto"/>
            </w:tcBorders>
          </w:tcPr>
          <w:p>
            <w:pPr>
              <w:spacing w:after="0"/>
              <w:rPr>
                <w:sz w:val="8"/>
                <w:szCs w:val="8"/>
                <w:color w:val="auto"/>
              </w:rPr>
            </w:pPr>
          </w:p>
        </w:tc>
        <w:tc>
          <w:tcPr>
            <w:tcW w:w="5440" w:type="dxa"/>
            <w:vAlign w:val="bottom"/>
            <w:tcBorders>
              <w:bottom w:val="single" w:sz="8" w:color="auto"/>
            </w:tcBorders>
          </w:tcPr>
          <w:p>
            <w:pPr>
              <w:spacing w:after="0"/>
              <w:rPr>
                <w:sz w:val="8"/>
                <w:szCs w:val="8"/>
                <w:color w:val="auto"/>
              </w:rPr>
            </w:pPr>
          </w:p>
        </w:tc>
      </w:tr>
      <w:tr>
        <w:trPr>
          <w:trHeight w:val="226"/>
        </w:trPr>
        <w:tc>
          <w:tcPr>
            <w:tcW w:w="1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Entity</w:t>
            </w:r>
          </w:p>
        </w:tc>
        <w:tc>
          <w:tcPr>
            <w:tcW w:w="14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Permit Status</w:t>
            </w:r>
          </w:p>
        </w:tc>
        <w:tc>
          <w:tcPr>
            <w:tcW w:w="20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Spill Size</w:t>
            </w: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Spill Description</w:t>
            </w:r>
          </w:p>
        </w:tc>
      </w:tr>
      <w:tr>
        <w:trPr>
          <w:trHeight w:val="83"/>
        </w:trPr>
        <w:tc>
          <w:tcPr>
            <w:tcW w:w="148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tcPr>
          <w:p>
            <w:pPr>
              <w:spacing w:after="0"/>
              <w:rPr>
                <w:sz w:val="7"/>
                <w:szCs w:val="7"/>
                <w:color w:val="auto"/>
              </w:rPr>
            </w:pPr>
          </w:p>
        </w:tc>
        <w:tc>
          <w:tcPr>
            <w:tcW w:w="2060" w:type="dxa"/>
            <w:vAlign w:val="bottom"/>
            <w:tcBorders>
              <w:bottom w:val="single" w:sz="8" w:color="auto"/>
            </w:tcBorders>
          </w:tcPr>
          <w:p>
            <w:pPr>
              <w:spacing w:after="0"/>
              <w:rPr>
                <w:sz w:val="7"/>
                <w:szCs w:val="7"/>
                <w:color w:val="auto"/>
              </w:rPr>
            </w:pPr>
          </w:p>
        </w:tc>
        <w:tc>
          <w:tcPr>
            <w:tcW w:w="5440" w:type="dxa"/>
            <w:vAlign w:val="bottom"/>
            <w:tcBorders>
              <w:bottom w:val="single" w:sz="8" w:color="auto"/>
            </w:tcBorders>
          </w:tcPr>
          <w:p>
            <w:pPr>
              <w:spacing w:after="0"/>
              <w:rPr>
                <w:sz w:val="7"/>
                <w:szCs w:val="7"/>
                <w:color w:val="auto"/>
              </w:rPr>
            </w:pPr>
          </w:p>
        </w:tc>
      </w:tr>
      <w:tr>
        <w:trPr>
          <w:trHeight w:val="239"/>
        </w:trPr>
        <w:tc>
          <w:tcPr>
            <w:tcW w:w="1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Berry Petroleum</w:t>
            </w:r>
          </w:p>
        </w:tc>
        <w:tc>
          <w:tcPr>
            <w:tcW w:w="14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No Permit</w:t>
            </w:r>
          </w:p>
        </w:tc>
        <w:tc>
          <w:tcPr>
            <w:tcW w:w="20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700 bbl Water</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 xml:space="preserve"> Produced</w:t>
            </w: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A rain event occurred over the area and</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lled a concrete cellar that a well sits in and</w:t>
            </w:r>
          </w:p>
        </w:tc>
      </w:tr>
      <w:tr>
        <w:trPr>
          <w:trHeight w:val="159"/>
        </w:trPr>
        <w:tc>
          <w:tcPr>
            <w:tcW w:w="1480" w:type="dxa"/>
            <w:vAlign w:val="bottom"/>
          </w:tcPr>
          <w:p>
            <w:pPr>
              <w:spacing w:after="0"/>
              <w:rPr>
                <w:sz w:val="13"/>
                <w:szCs w:val="13"/>
                <w:color w:val="auto"/>
              </w:rPr>
            </w:pPr>
          </w:p>
        </w:tc>
        <w:tc>
          <w:tcPr>
            <w:tcW w:w="1440" w:type="dxa"/>
            <w:vAlign w:val="bottom"/>
          </w:tcPr>
          <w:p>
            <w:pPr>
              <w:spacing w:after="0"/>
              <w:rPr>
                <w:sz w:val="13"/>
                <w:szCs w:val="13"/>
                <w:color w:val="auto"/>
              </w:rPr>
            </w:pPr>
          </w:p>
        </w:tc>
        <w:tc>
          <w:tcPr>
            <w:tcW w:w="20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type used for well kill</w:t>
            </w:r>
          </w:p>
        </w:tc>
        <w:tc>
          <w:tcPr>
            <w:tcW w:w="5440" w:type="dxa"/>
            <w:vAlign w:val="bottom"/>
          </w:tcPr>
          <w:p>
            <w:pPr>
              <w:ind w:left="220"/>
              <w:spacing w:after="0"/>
              <w:rPr>
                <w:sz w:val="20"/>
                <w:szCs w:val="20"/>
                <w:color w:val="auto"/>
              </w:rPr>
            </w:pPr>
            <w:r>
              <w:rPr>
                <w:rFonts w:ascii="Arial" w:cs="Arial" w:eastAsia="Arial" w:hAnsi="Arial"/>
                <w:sz w:val="13"/>
                <w:szCs w:val="13"/>
                <w:color w:val="auto"/>
              </w:rPr>
              <w:t>fl</w:t>
            </w:r>
            <w:r>
              <w:rPr>
                <w:rFonts w:ascii="Times New Roman" w:cs="Times New Roman" w:eastAsia="Times New Roman" w:hAnsi="Times New Roman"/>
                <w:sz w:val="13"/>
                <w:szCs w:val="13"/>
                <w:color w:val="auto"/>
              </w:rPr>
              <w:t>oated residual oil to the surface, resulting in the release of crude oil on a dry, unknown</w:t>
            </w:r>
          </w:p>
        </w:tc>
      </w:tr>
      <w:tr>
        <w:trPr>
          <w:trHeight w:val="172"/>
        </w:trPr>
        <w:tc>
          <w:tcPr>
            <w:tcW w:w="148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creek bed.</w:t>
            </w:r>
          </w:p>
        </w:tc>
      </w:tr>
      <w:tr>
        <w:trPr>
          <w:trHeight w:val="171"/>
        </w:trPr>
        <w:tc>
          <w:tcPr>
            <w:tcW w:w="1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Plains All American</w:t>
            </w:r>
          </w:p>
        </w:tc>
        <w:tc>
          <w:tcPr>
            <w:tcW w:w="14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No Permit</w:t>
            </w:r>
          </w:p>
        </w:tc>
        <w:tc>
          <w:tcPr>
            <w:tcW w:w="20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600 bbl Produced Water</w:t>
            </w: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Produced water line failure caused the release of approximately 5 gallons of crude oil into</w:t>
            </w:r>
          </w:p>
        </w:tc>
      </w:tr>
      <w:tr>
        <w:trPr>
          <w:trHeight w:val="171"/>
        </w:trPr>
        <w:tc>
          <w:tcPr>
            <w:tcW w:w="148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Pipeline</w:t>
            </w:r>
          </w:p>
        </w:tc>
        <w:tc>
          <w:tcPr>
            <w:tcW w:w="14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a dry waterway; the rest of the release went to land only, impacting no waterway.</w:t>
            </w:r>
          </w:p>
        </w:tc>
      </w:tr>
      <w:tr>
        <w:trPr>
          <w:trHeight w:val="183"/>
        </w:trPr>
        <w:tc>
          <w:tcPr>
            <w:tcW w:w="1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Chevron USA Inc.</w:t>
            </w:r>
          </w:p>
        </w:tc>
        <w:tc>
          <w:tcPr>
            <w:tcW w:w="14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Notice of Non-</w:t>
            </w:r>
          </w:p>
        </w:tc>
        <w:tc>
          <w:tcPr>
            <w:tcW w:w="20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500 bbl Produced Water</w:t>
            </w:r>
          </w:p>
        </w:tc>
        <w:tc>
          <w:tcPr>
            <w:tcW w:w="54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Corrosion on a 3</w:t>
            </w:r>
            <w:r>
              <w:rPr>
                <w:rFonts w:ascii="Arial" w:cs="Arial" w:eastAsia="Arial" w:hAnsi="Arial"/>
                <w:sz w:val="13"/>
                <w:szCs w:val="13"/>
                <w:color w:val="auto"/>
              </w:rPr>
              <w:t>” fl</w:t>
            </w:r>
            <w:r>
              <w:rPr>
                <w:rFonts w:ascii="Times New Roman" w:cs="Times New Roman" w:eastAsia="Times New Roman" w:hAnsi="Times New Roman"/>
                <w:sz w:val="13"/>
                <w:szCs w:val="13"/>
                <w:color w:val="auto"/>
              </w:rPr>
              <w:t>ow line caused a release to a blue line (stream).</w:t>
            </w:r>
          </w:p>
        </w:tc>
      </w:tr>
      <w:tr>
        <w:trPr>
          <w:trHeight w:val="159"/>
        </w:trPr>
        <w:tc>
          <w:tcPr>
            <w:tcW w:w="1480" w:type="dxa"/>
            <w:vAlign w:val="bottom"/>
          </w:tcPr>
          <w:p>
            <w:pPr>
              <w:spacing w:after="0"/>
              <w:rPr>
                <w:sz w:val="13"/>
                <w:szCs w:val="13"/>
                <w:color w:val="auto"/>
              </w:rPr>
            </w:pPr>
          </w:p>
        </w:tc>
        <w:tc>
          <w:tcPr>
            <w:tcW w:w="14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Applicability</w:t>
            </w:r>
          </w:p>
        </w:tc>
        <w:tc>
          <w:tcPr>
            <w:tcW w:w="2060" w:type="dxa"/>
            <w:vAlign w:val="bottom"/>
          </w:tcPr>
          <w:p>
            <w:pPr>
              <w:spacing w:after="0"/>
              <w:rPr>
                <w:sz w:val="13"/>
                <w:szCs w:val="13"/>
                <w:color w:val="auto"/>
              </w:rPr>
            </w:pPr>
          </w:p>
        </w:tc>
        <w:tc>
          <w:tcPr>
            <w:tcW w:w="5440" w:type="dxa"/>
            <w:vAlign w:val="bottom"/>
          </w:tcPr>
          <w:p>
            <w:pPr>
              <w:spacing w:after="0"/>
              <w:rPr>
                <w:sz w:val="13"/>
                <w:szCs w:val="13"/>
                <w:color w:val="auto"/>
              </w:rPr>
            </w:pPr>
          </w:p>
        </w:tc>
      </w:tr>
      <w:tr>
        <w:trPr>
          <w:trHeight w:val="106"/>
        </w:trPr>
        <w:tc>
          <w:tcPr>
            <w:tcW w:w="1480" w:type="dxa"/>
            <w:vAlign w:val="bottom"/>
            <w:tcBorders>
              <w:bottom w:val="single" w:sz="8" w:color="auto"/>
            </w:tcBorders>
          </w:tcPr>
          <w:p>
            <w:pPr>
              <w:spacing w:after="0"/>
              <w:rPr>
                <w:sz w:val="9"/>
                <w:szCs w:val="9"/>
                <w:color w:val="auto"/>
              </w:rPr>
            </w:pPr>
          </w:p>
        </w:tc>
        <w:tc>
          <w:tcPr>
            <w:tcW w:w="1440" w:type="dxa"/>
            <w:vAlign w:val="bottom"/>
            <w:tcBorders>
              <w:bottom w:val="single" w:sz="8" w:color="auto"/>
            </w:tcBorders>
          </w:tcPr>
          <w:p>
            <w:pPr>
              <w:spacing w:after="0"/>
              <w:rPr>
                <w:sz w:val="9"/>
                <w:szCs w:val="9"/>
                <w:color w:val="auto"/>
              </w:rPr>
            </w:pPr>
          </w:p>
        </w:tc>
        <w:tc>
          <w:tcPr>
            <w:tcW w:w="2060" w:type="dxa"/>
            <w:vAlign w:val="bottom"/>
            <w:tcBorders>
              <w:bottom w:val="single" w:sz="8" w:color="auto"/>
            </w:tcBorders>
          </w:tcPr>
          <w:p>
            <w:pPr>
              <w:spacing w:after="0"/>
              <w:rPr>
                <w:sz w:val="9"/>
                <w:szCs w:val="9"/>
                <w:color w:val="auto"/>
              </w:rPr>
            </w:pPr>
          </w:p>
        </w:tc>
        <w:tc>
          <w:tcPr>
            <w:tcW w:w="544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 w:gutter="0" w:footer="0" w:header="0"/>
        </w:sectPr>
      </w:pPr>
    </w:p>
    <w:p>
      <w:pPr>
        <w:spacing w:after="0" w:line="107" w:lineRule="exact"/>
        <w:rPr>
          <w:sz w:val="20"/>
          <w:szCs w:val="20"/>
          <w:color w:val="auto"/>
        </w:rPr>
      </w:pPr>
    </w:p>
    <w:p>
      <w:pPr>
        <w:spacing w:after="0"/>
        <w:rPr>
          <w:sz w:val="20"/>
          <w:szCs w:val="20"/>
          <w:color w:val="auto"/>
        </w:rPr>
      </w:pPr>
      <w:r>
        <w:rPr>
          <w:rFonts w:ascii="Arial" w:cs="Arial" w:eastAsia="Arial" w:hAnsi="Arial"/>
          <w:sz w:val="13"/>
          <w:szCs w:val="13"/>
          <w:color w:val="auto"/>
        </w:rPr>
        <w:t>Table 5</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O &amp; G Facilities Filing for NPDES Permit Pre/Post New NPDES Permit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66675</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5pt" to="250.65pt,5.25pt" o:allowincell="f" strokecolor="#000000" strokeweight="0.498pt"/>
            </w:pict>
          </mc:Fallback>
        </mc:AlternateContent>
      </w:r>
    </w:p>
    <w:p>
      <w:pPr>
        <w:spacing w:after="0" w:line="171"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County</w:t>
            </w:r>
          </w:p>
        </w:tc>
        <w:tc>
          <w:tcPr>
            <w:tcW w:w="18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 of NPDES Permit</w:t>
            </w:r>
          </w:p>
        </w:tc>
        <w:tc>
          <w:tcPr>
            <w:tcW w:w="23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 of NPDES Permits After July 2015</w:t>
            </w:r>
          </w:p>
        </w:tc>
      </w:tr>
      <w:tr>
        <w:trPr>
          <w:trHeight w:val="83"/>
        </w:trPr>
        <w:tc>
          <w:tcPr>
            <w:tcW w:w="840" w:type="dxa"/>
            <w:vAlign w:val="bottom"/>
            <w:tcBorders>
              <w:bottom w:val="single" w:sz="8" w:color="auto"/>
            </w:tcBorders>
          </w:tcPr>
          <w:p>
            <w:pPr>
              <w:spacing w:after="0"/>
              <w:rPr>
                <w:sz w:val="7"/>
                <w:szCs w:val="7"/>
                <w:color w:val="auto"/>
              </w:rPr>
            </w:pPr>
          </w:p>
        </w:tc>
        <w:tc>
          <w:tcPr>
            <w:tcW w:w="182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r>
      <w:tr>
        <w:trPr>
          <w:trHeight w:val="227"/>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Ventura</w:t>
            </w:r>
          </w:p>
        </w:tc>
        <w:tc>
          <w:tcPr>
            <w:tcW w:w="18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36</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w:t>
            </w:r>
          </w:p>
        </w:tc>
        <w:tc>
          <w:tcPr>
            <w:tcW w:w="1080" w:type="dxa"/>
            <w:vAlign w:val="bottom"/>
          </w:tcPr>
          <w:p>
            <w:pPr>
              <w:spacing w:after="0"/>
              <w:rPr>
                <w:sz w:val="19"/>
                <w:szCs w:val="19"/>
                <w:color w:val="auto"/>
              </w:rPr>
            </w:pP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Kern</w:t>
            </w:r>
          </w:p>
        </w:tc>
        <w:tc>
          <w:tcPr>
            <w:tcW w:w="18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45</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27</w:t>
            </w:r>
          </w:p>
        </w:tc>
        <w:tc>
          <w:tcPr>
            <w:tcW w:w="1080" w:type="dxa"/>
            <w:vAlign w:val="bottom"/>
          </w:tcPr>
          <w:p>
            <w:pPr>
              <w:spacing w:after="0"/>
              <w:rPr>
                <w:sz w:val="14"/>
                <w:szCs w:val="14"/>
                <w:color w:val="auto"/>
              </w:rPr>
            </w:pPr>
          </w:p>
        </w:tc>
      </w:tr>
      <w:tr>
        <w:trPr>
          <w:trHeight w:val="106"/>
        </w:trPr>
        <w:tc>
          <w:tcPr>
            <w:tcW w:w="840" w:type="dxa"/>
            <w:vAlign w:val="bottom"/>
            <w:tcBorders>
              <w:bottom w:val="single" w:sz="8" w:color="auto"/>
            </w:tcBorders>
          </w:tcPr>
          <w:p>
            <w:pPr>
              <w:spacing w:after="0"/>
              <w:rPr>
                <w:sz w:val="9"/>
                <w:szCs w:val="9"/>
                <w:color w:val="auto"/>
              </w:rPr>
            </w:pPr>
          </w:p>
        </w:tc>
        <w:tc>
          <w:tcPr>
            <w:tcW w:w="1820" w:type="dxa"/>
            <w:vAlign w:val="bottom"/>
            <w:tcBorders>
              <w:bottom w:val="single" w:sz="8" w:color="auto"/>
            </w:tcBorders>
          </w:tcPr>
          <w:p>
            <w:pPr>
              <w:spacing w:after="0"/>
              <w:rPr>
                <w:sz w:val="9"/>
                <w:szCs w:val="9"/>
                <w:color w:val="auto"/>
              </w:rPr>
            </w:pPr>
          </w:p>
        </w:tc>
        <w:tc>
          <w:tcPr>
            <w:tcW w:w="1300" w:type="dxa"/>
            <w:vAlign w:val="bottom"/>
            <w:tcBorders>
              <w:bottom w:val="single" w:sz="8" w:color="auto"/>
            </w:tcBorders>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r>
      <w:tr>
        <w:trPr>
          <w:trHeight w:val="595"/>
        </w:trPr>
        <w:tc>
          <w:tcPr>
            <w:tcW w:w="840" w:type="dxa"/>
            <w:vAlign w:val="bottom"/>
          </w:tcPr>
          <w:p>
            <w:pPr>
              <w:spacing w:after="0"/>
              <w:rPr>
                <w:sz w:val="20"/>
                <w:szCs w:val="20"/>
                <w:color w:val="auto"/>
              </w:rPr>
            </w:pPr>
            <w:r>
              <w:rPr>
                <w:rFonts w:ascii="Arial" w:cs="Arial" w:eastAsia="Arial" w:hAnsi="Arial"/>
                <w:sz w:val="13"/>
                <w:szCs w:val="13"/>
                <w:color w:val="auto"/>
              </w:rPr>
              <w:t>Table 6</w:t>
            </w:r>
          </w:p>
        </w:tc>
        <w:tc>
          <w:tcPr>
            <w:tcW w:w="182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171"/>
        </w:trPr>
        <w:tc>
          <w:tcPr>
            <w:tcW w:w="396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UOG Facilities Filing for NPDES Permit Pre/Post New NPDES Order.</w:t>
            </w:r>
          </w:p>
        </w:tc>
        <w:tc>
          <w:tcPr>
            <w:tcW w:w="1080" w:type="dxa"/>
            <w:vAlign w:val="bottom"/>
          </w:tcPr>
          <w:p>
            <w:pPr>
              <w:spacing w:after="0"/>
              <w:rPr>
                <w:sz w:val="14"/>
                <w:szCs w:val="14"/>
                <w:color w:val="auto"/>
              </w:rPr>
            </w:pPr>
          </w:p>
        </w:tc>
      </w:tr>
      <w:tr>
        <w:trPr>
          <w:trHeight w:val="94"/>
        </w:trPr>
        <w:tc>
          <w:tcPr>
            <w:tcW w:w="840" w:type="dxa"/>
            <w:vAlign w:val="bottom"/>
            <w:tcBorders>
              <w:bottom w:val="single" w:sz="8" w:color="auto"/>
            </w:tcBorders>
          </w:tcPr>
          <w:p>
            <w:pPr>
              <w:spacing w:after="0"/>
              <w:rPr>
                <w:sz w:val="8"/>
                <w:szCs w:val="8"/>
                <w:color w:val="auto"/>
              </w:rPr>
            </w:pPr>
          </w:p>
        </w:tc>
        <w:tc>
          <w:tcPr>
            <w:tcW w:w="1820" w:type="dxa"/>
            <w:vAlign w:val="bottom"/>
            <w:tcBorders>
              <w:bottom w:val="single" w:sz="8" w:color="auto"/>
            </w:tcBorders>
          </w:tcPr>
          <w:p>
            <w:pPr>
              <w:spacing w:after="0"/>
              <w:rPr>
                <w:sz w:val="8"/>
                <w:szCs w:val="8"/>
                <w:color w:val="auto"/>
              </w:rPr>
            </w:pPr>
          </w:p>
        </w:tc>
        <w:tc>
          <w:tcPr>
            <w:tcW w:w="1300" w:type="dxa"/>
            <w:vAlign w:val="bottom"/>
            <w:tcBorders>
              <w:bottom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r>
      <w:tr>
        <w:trPr>
          <w:trHeight w:val="226"/>
        </w:trPr>
        <w:tc>
          <w:tcPr>
            <w:tcW w:w="8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Before July 2015</w:t>
            </w:r>
          </w:p>
        </w:tc>
        <w:tc>
          <w:tcPr>
            <w:tcW w:w="10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After July 2015</w:t>
            </w:r>
          </w:p>
        </w:tc>
      </w:tr>
      <w:tr>
        <w:trPr>
          <w:trHeight w:val="82"/>
        </w:trPr>
        <w:tc>
          <w:tcPr>
            <w:tcW w:w="2660" w:type="dxa"/>
            <w:vAlign w:val="bottom"/>
            <w:tcBorders>
              <w:bottom w:val="single" w:sz="8" w:color="auto"/>
            </w:tcBorders>
            <w:gridSpan w:val="2"/>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r>
      <w:tr>
        <w:trPr>
          <w:trHeight w:val="228"/>
        </w:trPr>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 DOGGR UOG facilities</w:t>
            </w: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w:t>
            </w:r>
          </w:p>
        </w:tc>
        <w:tc>
          <w:tcPr>
            <w:tcW w:w="10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5</w:t>
            </w:r>
          </w:p>
        </w:tc>
      </w:tr>
      <w:tr>
        <w:trPr>
          <w:trHeight w:val="171"/>
        </w:trPr>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 DOGGR UOG facilities w/NPDES permit</w:t>
            </w: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w:t>
            </w:r>
          </w:p>
        </w:tc>
        <w:tc>
          <w:tcPr>
            <w:tcW w:w="10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3</w:t>
            </w:r>
          </w:p>
        </w:tc>
      </w:tr>
      <w:tr>
        <w:trPr>
          <w:trHeight w:val="171"/>
        </w:trPr>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 UOG facilities obtaining NPDES permit</w:t>
            </w: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10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60%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81"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3"/>
          <w:szCs w:val="13"/>
          <w:color w:val="auto"/>
        </w:rPr>
        <w:t>This analysis shows an increase in enrollment that coincides with the new regulations; the new regulations may be providing an incentive to enroll. However increased enrollment does not mean better regulatory control or pollution reduction. There needs be 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best management practices for O &amp; G as well as 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requirements for known polluters. Nonetheless having all O &amp; G at least.</w:t>
      </w:r>
    </w:p>
    <w:p>
      <w:pPr>
        <w:spacing w:after="0" w:line="202"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those facilities are not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 xml:space="preserve">ling for a permit. Filing for a permit would not necessarily prevent a spill but would require better monitoring, main-tenance and preventative measures to be in place. In California new </w:t>
      </w:r>
      <w:r>
        <w:rPr>
          <w:rFonts w:ascii="Arial" w:cs="Arial" w:eastAsia="Arial" w:hAnsi="Arial"/>
          <w:sz w:val="16"/>
          <w:szCs w:val="16"/>
          <w:color w:val="auto"/>
        </w:rPr>
        <w:t>fi</w:t>
      </w:r>
      <w:r>
        <w:rPr>
          <w:rFonts w:ascii="Times New Roman" w:cs="Times New Roman" w:eastAsia="Times New Roman" w:hAnsi="Times New Roman"/>
          <w:sz w:val="16"/>
          <w:szCs w:val="16"/>
          <w:color w:val="auto"/>
        </w:rPr>
        <w:t>ling requirements for oil and gas industry require all facilities that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discharge stormwater contaminated by contact with, or that has come into contact with any overburden, raw material, intermediate products located on the site of such operations, to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an Industrial Stormwater General Permit. The new requirements coincide with a larger pool of facilities enrolling in the program. More research would have to be done to determine causation, but getting facilities enrolled is a good start. On the federal level requiring similar permitting of all O &amp; G facilities may help increase the number of enrolled facilities.</w:t>
      </w:r>
    </w:p>
    <w:p>
      <w:pPr>
        <w:spacing w:after="0" w:line="5"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permit however is still general in nature and may not provide the industry with the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requirements that it needs. In cer-tain cases there are more sector/industry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permits/require-ments, such as the Washington States boatyard permit () or California Regional Water Quality Control Board Santa Ana Region</w:t>
      </w:r>
      <w:r>
        <w:rPr>
          <w:rFonts w:ascii="Arial" w:cs="Arial" w:eastAsia="Arial" w:hAnsi="Arial"/>
          <w:sz w:val="16"/>
          <w:szCs w:val="16"/>
          <w:color w:val="auto"/>
        </w:rPr>
        <w:t>’</w:t>
      </w:r>
      <w:r>
        <w:rPr>
          <w:rFonts w:ascii="Times New Roman" w:cs="Times New Roman" w:eastAsia="Times New Roman" w:hAnsi="Times New Roman"/>
          <w:sz w:val="16"/>
          <w:szCs w:val="16"/>
          <w:color w:val="auto"/>
        </w:rPr>
        <w:t>s sector-spe-ci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general permit for storm water runo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associated with industrial activities from scrap metal recycling facilities (</w:t>
      </w:r>
      <w:hyperlink w:anchor="page7">
        <w:r>
          <w:rPr>
            <w:rFonts w:ascii="Times New Roman" w:cs="Times New Roman" w:eastAsia="Times New Roman" w:hAnsi="Times New Roman"/>
            <w:sz w:val="16"/>
            <w:szCs w:val="16"/>
            <w:color w:val="004A76"/>
          </w:rPr>
          <w:t>SWRCB, 2014</w:t>
        </w:r>
      </w:hyperlink>
      <w:r>
        <w:rPr>
          <w:rFonts w:ascii="Times New Roman" w:cs="Times New Roman" w:eastAsia="Times New Roman" w:hAnsi="Times New Roman"/>
          <w:sz w:val="16"/>
          <w:szCs w:val="16"/>
          <w:color w:val="auto"/>
        </w:rPr>
        <w:t>) that have provided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guidance. Such guidance may help polluters implement the necessarily changes to their sites.</w:t>
      </w:r>
    </w:p>
    <w:p>
      <w:pPr>
        <w:spacing w:after="0" w:line="199"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There are a few guidance documents with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re-commendations for O &amp; G facilities. Two were developed by the US EPA, one looking at BMPs for potential pollutant source (</w:t>
      </w:r>
      <w:hyperlink w:anchor="page7">
        <w:r>
          <w:rPr>
            <w:rFonts w:ascii="Times New Roman" w:cs="Times New Roman" w:eastAsia="Times New Roman" w:hAnsi="Times New Roman"/>
            <w:sz w:val="16"/>
            <w:szCs w:val="16"/>
            <w:color w:val="004A76"/>
          </w:rPr>
          <w:t>US EPA, 2010</w:t>
        </w:r>
      </w:hyperlink>
      <w:r>
        <w:rPr>
          <w:rFonts w:ascii="Times New Roman" w:cs="Times New Roman" w:eastAsia="Times New Roman" w:hAnsi="Times New Roman"/>
          <w:sz w:val="16"/>
          <w:szCs w:val="16"/>
          <w:color w:val="auto"/>
        </w:rPr>
        <w:t>) and the other providing voluntary practices for oil and gas wastes (</w:t>
      </w:r>
      <w:hyperlink w:anchor="page7">
        <w:r>
          <w:rPr>
            <w:rFonts w:ascii="Times New Roman" w:cs="Times New Roman" w:eastAsia="Times New Roman" w:hAnsi="Times New Roman"/>
            <w:sz w:val="16"/>
            <w:szCs w:val="16"/>
            <w:color w:val="004A76"/>
          </w:rPr>
          <w:t>US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EPA, 2014</w:t>
        </w:r>
      </w:hyperlink>
      <w:r>
        <w:rPr>
          <w:rFonts w:ascii="Times New Roman" w:cs="Times New Roman" w:eastAsia="Times New Roman" w:hAnsi="Times New Roman"/>
          <w:sz w:val="16"/>
          <w:szCs w:val="16"/>
          <w:color w:val="000000"/>
        </w:rPr>
        <w:t>). Although many of the recommendations are general there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is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guidance that could be used in the permitting process. An-other document by the Independent Petroleum Association of America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es practices for stabilization of O &amp; G construction sites (</w:t>
      </w:r>
      <w:hyperlink w:anchor="page7">
        <w:r>
          <w:rPr>
            <w:rFonts w:ascii="Times New Roman" w:cs="Times New Roman" w:eastAsia="Times New Roman" w:hAnsi="Times New Roman"/>
            <w:sz w:val="16"/>
            <w:szCs w:val="16"/>
            <w:color w:val="004A76"/>
          </w:rPr>
          <w:t>IPAA,</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2004</w:t>
        </w:r>
      </w:hyperlink>
      <w:r>
        <w:rPr>
          <w:rFonts w:ascii="Times New Roman" w:cs="Times New Roman" w:eastAsia="Times New Roman" w:hAnsi="Times New Roman"/>
          <w:sz w:val="16"/>
          <w:szCs w:val="16"/>
          <w:color w:val="000000"/>
        </w:rPr>
        <w:t>). These documents could be sources to establish requirements for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 more industry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stormwater permit. Currently most of the BMPs recommended in these documents don</w:t>
      </w:r>
      <w:r>
        <w:rPr>
          <w:rFonts w:ascii="Arial" w:cs="Arial" w:eastAsia="Arial" w:hAnsi="Arial"/>
          <w:sz w:val="16"/>
          <w:szCs w:val="16"/>
          <w:color w:val="000000"/>
        </w:rPr>
        <w:t>’</w:t>
      </w:r>
      <w:r>
        <w:rPr>
          <w:rFonts w:ascii="Times New Roman" w:cs="Times New Roman" w:eastAsia="Times New Roman" w:hAnsi="Times New Roman"/>
          <w:sz w:val="16"/>
          <w:szCs w:val="16"/>
          <w:color w:val="000000"/>
        </w:rPr>
        <w:t>t have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ned performance standards.</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43" w:lineRule="exact"/>
        <w:rPr>
          <w:rFonts w:ascii="Times New Roman" w:cs="Times New Roman" w:eastAsia="Times New Roman" w:hAnsi="Times New Roman"/>
          <w:sz w:val="16"/>
          <w:szCs w:val="16"/>
          <w:color w:val="004A76"/>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For the Ventura County and Kern County medium and large sized spill case studies, there were only two associated SPCC plans and one SWPP plan that were obtained. One site</w:t>
      </w:r>
      <w:r>
        <w:rPr>
          <w:rFonts w:ascii="Arial" w:cs="Arial" w:eastAsia="Arial" w:hAnsi="Arial"/>
          <w:sz w:val="16"/>
          <w:szCs w:val="16"/>
          <w:color w:val="auto"/>
        </w:rPr>
        <w:t>’</w:t>
      </w:r>
      <w:r>
        <w:rPr>
          <w:rFonts w:ascii="Times New Roman" w:cs="Times New Roman" w:eastAsia="Times New Roman" w:hAnsi="Times New Roman"/>
          <w:sz w:val="16"/>
          <w:szCs w:val="16"/>
          <w:color w:val="auto"/>
        </w:rPr>
        <w:t>s SPCC plans show that mea-sures in place are very general; they may be able to detect faulty equipment but do not address containment issues. The other SPCC plan was for an enclosed facility whose spill did not reach waterways. The SWPP plan provides more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recommendations for sites that are in contact with waterways. However with such a limited number of re-ports no conclusive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can be made.</w:t>
      </w:r>
    </w:p>
    <w:p>
      <w:pPr>
        <w:spacing w:after="0" w:line="200"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Permit compliance is an issue. Currently with the federal framework it is left up to facilities to identify when a violation has occurred and then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 permit. Cases in California show that when large spills were occurring that reach waterways, facilities were still not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ling for a permit. Having all facilities that are a potential source of contaminated stormwater</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 permit is a preventative measure that would at least require basic monitoring and maintenance. The authors re-commend a tiered permitting approach nationally. The tiers should relate to spills as well as toxicity of chemicals used. All O &amp; G facilities should</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the Industrial Stormwater General Permit for potential stormwater discharges as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rst tier. The next tier of facilities would be regulated more strictly in cases of spills or use of toxic chemicals. If there is a medium sized spill (24</w:t>
      </w:r>
      <w:r>
        <w:rPr>
          <w:rFonts w:ascii="Arial" w:cs="Arial" w:eastAsia="Arial" w:hAnsi="Arial"/>
          <w:sz w:val="16"/>
          <w:szCs w:val="16"/>
          <w:color w:val="auto"/>
        </w:rPr>
        <w:t>–</w:t>
      </w:r>
      <w:r>
        <w:rPr>
          <w:rFonts w:ascii="Times New Roman" w:cs="Times New Roman" w:eastAsia="Times New Roman" w:hAnsi="Times New Roman"/>
          <w:sz w:val="16"/>
          <w:szCs w:val="16"/>
          <w:color w:val="auto"/>
        </w:rPr>
        <w:t>240 bbls) or hazardous chemicals are used that appear on the Reportable Quantity list or have a toxicity grade of an F, as reported for acidization chemicals in</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Abdullah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 the operator must</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le for a sector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permit as the second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tier, which calls for more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protocols for the O &amp; G sector. The BMPs in the guidance documents mentioned can be incorporated in such a permit. If there is a large sized spill (&gt; 240 bbls) or hazardous chemicals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in the second tier of reporting) are used in quantities above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thresholds the operator must</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le for a site-speci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individual permit under the third tier. This allows for more scrutiny and oversight. A tiered approach gives operators an incentive to prevent spills, use safer chemicals, and employ BMPs. Companies will want to avoid industry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or site-speci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permits and thus make sure proper measures are in place for spills or use of toxic chemicals.</w:t>
      </w:r>
    </w:p>
    <w:p>
      <w:pPr>
        <w:spacing w:after="0" w:line="198"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At the California State level all O &amp; G are required to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an NPDES permit. To ensure that this happens it can be a requirement for all facilities obtaining a drilling permit to</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 for a permit with the Water Board. There can be a drilling permit block stating that no O &amp; G stimulation will be permitted until an NPDES permit has been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led for. Such inter-agency dependency can enhance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ectiveness of rules and better protect the public and environment.</w:t>
      </w:r>
    </w:p>
    <w:p>
      <w:pPr>
        <w:spacing w:after="0" w:line="272" w:lineRule="exact"/>
        <w:rPr>
          <w:sz w:val="20"/>
          <w:szCs w:val="20"/>
          <w:color w:val="auto"/>
        </w:rPr>
      </w:pPr>
    </w:p>
    <w:p>
      <w:pPr>
        <w:spacing w:after="0"/>
        <w:rPr>
          <w:sz w:val="20"/>
          <w:szCs w:val="20"/>
          <w:color w:val="auto"/>
        </w:rPr>
      </w:pPr>
      <w:r>
        <w:rPr>
          <w:rFonts w:ascii="Arial" w:cs="Arial" w:eastAsia="Arial" w:hAnsi="Arial"/>
          <w:sz w:val="16"/>
          <w:szCs w:val="16"/>
          <w:color w:val="auto"/>
        </w:rPr>
        <w:t>5. Conclusions</w:t>
      </w:r>
    </w:p>
    <w:p>
      <w:pPr>
        <w:spacing w:after="0" w:line="237"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Evidence presented herein shows there is value in increasing reg-ulatory protocols. In California there are too many spills that are not being contained, and even after spills have occurred, facilities are not complying with regulations that require greater scrutiny over their actions. There is a need to both understand the potential threat from O &amp; G activities to surface waters from contaminated stormwater as well as have the regulations in place to prevent any contamination. It is hoped that this paper shed light on the threat and the need for appro-priate regulations concerning O &amp; G stormwater management.</w:t>
      </w:r>
    </w:p>
    <w:p>
      <w:pPr>
        <w:spacing w:after="0" w:line="195" w:lineRule="exact"/>
        <w:rPr>
          <w:sz w:val="20"/>
          <w:szCs w:val="20"/>
          <w:color w:val="auto"/>
        </w:rPr>
      </w:pPr>
    </w:p>
    <w:p>
      <w:pPr>
        <w:sectPr>
          <w:pgSz w:w="11900" w:h="15874" w:orient="portrait"/>
          <w:cols w:equalWidth="0" w:num="2">
            <w:col w:w="5020" w:space="360"/>
            <w:col w:w="5020"/>
          </w:cols>
          <w:pgMar w:left="760" w:top="676" w:right="746" w:bottom="3" w:gutter="0" w:footer="0" w:header="0"/>
          <w:type w:val="continuous"/>
        </w:sectPr>
      </w:pPr>
    </w:p>
    <w:p>
      <w:pPr>
        <w:jc w:val="center"/>
        <w:ind w:right="20"/>
        <w:spacing w:after="0"/>
        <w:rPr>
          <w:sz w:val="20"/>
          <w:szCs w:val="20"/>
          <w:color w:val="auto"/>
        </w:rPr>
      </w:pPr>
      <w:r>
        <w:rPr>
          <w:rFonts w:ascii="Arial" w:cs="Arial" w:eastAsia="Arial" w:hAnsi="Arial"/>
          <w:sz w:val="13"/>
          <w:szCs w:val="13"/>
          <w:color w:val="auto"/>
        </w:rPr>
        <w:t>144</w:t>
      </w:r>
    </w:p>
    <w:p>
      <w:pPr>
        <w:sectPr>
          <w:pgSz w:w="11900" w:h="15874" w:orient="portrait"/>
          <w:cols w:equalWidth="0" w:num="1">
            <w:col w:w="10400"/>
          </w:cols>
          <w:pgMar w:left="760" w:top="676" w:right="746" w:bottom="3" w:gutter="0" w:footer="0" w:header="0"/>
          <w:type w:val="continuous"/>
        </w:sectPr>
      </w:pPr>
    </w:p>
    <w:bookmarkStart w:id="6" w:name="page7"/>
    <w:bookmarkEnd w:id="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K. Abdullah et al.</w:t>
      </w: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w:t>
      </w:r>
    </w:p>
    <w:p>
      <w:pPr>
        <w:spacing w:after="0" w:line="23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This work was supported by National Water Research Institute.</w:t>
      </w:r>
    </w:p>
    <w:p>
      <w:pPr>
        <w:spacing w:after="0" w:line="232"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data associated with this article can be found, in the online version, at</w:t>
      </w:r>
      <w:r>
        <w:rPr>
          <w:rFonts w:ascii="Times New Roman" w:cs="Times New Roman" w:eastAsia="Times New Roman" w:hAnsi="Times New Roman"/>
          <w:sz w:val="16"/>
          <w:szCs w:val="16"/>
          <w:color w:val="004A76"/>
        </w:rPr>
        <w:t xml:space="preserve"> </w:t>
      </w:r>
      <w:hyperlink r:id="rId12">
        <w:r>
          <w:rPr>
            <w:rFonts w:ascii="Times New Roman" w:cs="Times New Roman" w:eastAsia="Times New Roman" w:hAnsi="Times New Roman"/>
            <w:sz w:val="16"/>
            <w:szCs w:val="16"/>
            <w:color w:val="004A76"/>
          </w:rPr>
          <w:t>http://dx.doi.org/10.1016/j.envsci.2017.06.016</w:t>
        </w:r>
      </w:hyperlink>
      <w:r>
        <w:rPr>
          <w:rFonts w:ascii="Times New Roman" w:cs="Times New Roman" w:eastAsia="Times New Roman" w:hAnsi="Times New Roman"/>
          <w:sz w:val="16"/>
          <w:szCs w:val="16"/>
          <w:color w:val="auto"/>
        </w:rPr>
        <w:t>.</w:t>
      </w:r>
    </w:p>
    <w:p>
      <w:pPr>
        <w:spacing w:after="0" w:line="18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Abdullah, K., Malloy, T., Stenstrom, M.K., Su</w:t>
      </w:r>
      <w:r>
        <w:rPr>
          <w:rFonts w:ascii="Arial" w:cs="Arial" w:eastAsia="Arial" w:hAnsi="Arial"/>
          <w:sz w:val="13"/>
          <w:szCs w:val="13"/>
          <w:color w:val="auto"/>
        </w:rPr>
        <w:t>ﬀ</w:t>
      </w:r>
      <w:r>
        <w:rPr>
          <w:rFonts w:ascii="Times New Roman" w:cs="Times New Roman" w:eastAsia="Times New Roman" w:hAnsi="Times New Roman"/>
          <w:sz w:val="13"/>
          <w:szCs w:val="13"/>
          <w:color w:val="auto"/>
        </w:rPr>
        <w:t>et, I.H., 2016. Toxicity of acidization</w:t>
      </w:r>
      <w:r>
        <w:rPr>
          <w:rFonts w:ascii="Arial" w:cs="Arial" w:eastAsia="Arial" w:hAnsi="Arial"/>
          <w:sz w:val="13"/>
          <w:szCs w:val="13"/>
          <w:color w:val="auto"/>
        </w:rPr>
        <w:t xml:space="preserve"> fl</w:t>
      </w:r>
      <w:r>
        <w:rPr>
          <w:rFonts w:ascii="Times New Roman" w:cs="Times New Roman" w:eastAsia="Times New Roman" w:hAnsi="Times New Roman"/>
          <w:sz w:val="13"/>
          <w:szCs w:val="13"/>
          <w:color w:val="auto"/>
        </w:rPr>
        <w:t>uids used in California oil exploration. Toxicol. Environ. Chem. 1</w:t>
      </w:r>
      <w:r>
        <w:rPr>
          <w:rFonts w:ascii="Arial" w:cs="Arial" w:eastAsia="Arial" w:hAnsi="Arial"/>
          <w:sz w:val="13"/>
          <w:szCs w:val="13"/>
          <w:color w:val="auto"/>
        </w:rPr>
        <w:t>–</w:t>
      </w:r>
      <w:r>
        <w:rPr>
          <w:rFonts w:ascii="Times New Roman" w:cs="Times New Roman" w:eastAsia="Times New Roman" w:hAnsi="Times New Roman"/>
          <w:sz w:val="13"/>
          <w:szCs w:val="13"/>
          <w:color w:val="auto"/>
        </w:rPr>
        <w:t>17.</w:t>
      </w:r>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http://dx.doi.org/</w:t>
        </w:r>
      </w:hyperlink>
      <w:r>
        <w:rPr>
          <w:rFonts w:ascii="Times New Roman" w:cs="Times New Roman" w:eastAsia="Times New Roman" w:hAnsi="Times New Roman"/>
          <w:sz w:val="13"/>
          <w:szCs w:val="13"/>
          <w:color w:val="auto"/>
        </w:rPr>
        <w:t xml:space="preserve"> </w:t>
      </w:r>
      <w:hyperlink r:id="rId22">
        <w:r>
          <w:rPr>
            <w:rFonts w:ascii="Times New Roman" w:cs="Times New Roman" w:eastAsia="Times New Roman" w:hAnsi="Times New Roman"/>
            <w:sz w:val="13"/>
            <w:szCs w:val="13"/>
            <w:color w:val="004A76"/>
          </w:rPr>
          <w:t>10.1080/02772248.2016.1160285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Anderson, M., Mayes, M., LaBelle, R., 2012. Update of Occurrence Rates for 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shore Oil</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Spills. Department of Interior Bureau of Ocean Energy Management and Bureau of</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Safety and Environmental Enforcement BOEM 2012-069 BSEE 2012-069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Boatyard General Permit. Washington State Department of Ecology</w:t>
      </w:r>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http://www.ecy.wa.</w:t>
        </w:r>
      </w:hyperlink>
    </w:p>
    <w:p>
      <w:pPr>
        <w:spacing w:after="0" w:line="9"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gov/programs/wq/permits/boatyard/index.html</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CCST, 2014. Advanced Well Stimulation Technologies in California. California Council on</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Science and Technology. Lawrence Berkeley National Laboratory, Paci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Institute,</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Sacramento, CA</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line="255"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Congress of the U.S.,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ce of Technology Assessment, 1992. Managing Industrial Solid</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Wastes from Manufacturing, Mining, Oil and Gas Production, and Utility Coal</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Combustion. Washington, DC</w:t>
        </w:r>
      </w:hyperlink>
      <w:r>
        <w:rPr>
          <w:rFonts w:ascii="Times New Roman" w:cs="Times New Roman" w:eastAsia="Times New Roman" w:hAnsi="Times New Roman"/>
          <w:sz w:val="13"/>
          <w:szCs w:val="13"/>
          <w:color w:val="000000"/>
        </w:rPr>
        <w:t>.</w:t>
      </w:r>
    </w:p>
    <w:p>
      <w:pPr>
        <w:ind w:left="240" w:right="80" w:hanging="238"/>
        <w:spacing w:after="0" w:line="256"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Department of Conservation, 1998. Field Rule, San Joaquin Valley, Oil Spill Reporting</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Criteria</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5" w:lineRule="auto"/>
        <w:rPr>
          <w:sz w:val="20"/>
          <w:szCs w:val="20"/>
          <w:color w:val="auto"/>
        </w:rPr>
      </w:pPr>
      <w:r>
        <w:rPr>
          <w:rFonts w:ascii="Times New Roman" w:cs="Times New Roman" w:eastAsia="Times New Roman" w:hAnsi="Times New Roman"/>
          <w:sz w:val="13"/>
          <w:szCs w:val="13"/>
          <w:color w:val="auto"/>
        </w:rPr>
        <w:t>Entrekin, S., Evans-White, M., Johnson, B., Hagenbuch, E., 2011. Rapid expansion of natural gas development poses a threat to surface waters. Front. Ecol. Environ. 9 (9),</w:t>
      </w:r>
    </w:p>
    <w:p>
      <w:pPr>
        <w:spacing w:after="0" w:line="20" w:lineRule="exact"/>
        <w:rPr>
          <w:sz w:val="20"/>
          <w:szCs w:val="20"/>
          <w:color w:val="auto"/>
        </w:rPr>
      </w:pPr>
      <w:r>
        <w:rPr>
          <w:sz w:val="20"/>
          <w:szCs w:val="20"/>
          <w:color w:val="auto"/>
        </w:rPr>
        <w:br w:type="column"/>
      </w:r>
    </w:p>
    <w:p>
      <w:pPr>
        <w:ind w:left="2080"/>
        <w:spacing w:after="0"/>
        <w:rPr>
          <w:sz w:val="20"/>
          <w:szCs w:val="20"/>
          <w:color w:val="auto"/>
        </w:rPr>
      </w:pPr>
      <w:r>
        <w:rPr>
          <w:rFonts w:ascii="Arial" w:cs="Arial" w:eastAsia="Arial" w:hAnsi="Arial"/>
          <w:sz w:val="12"/>
          <w:szCs w:val="12"/>
          <w:i w:val="1"/>
          <w:iCs w:val="1"/>
          <w:color w:val="auto"/>
        </w:rPr>
        <w:t>Environmental Science and Policy 76 (2017) 139–145</w:t>
      </w:r>
    </w:p>
    <w:p>
      <w:pPr>
        <w:spacing w:after="0" w:line="314"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503</w:t>
      </w:r>
      <w:r>
        <w:rPr>
          <w:rFonts w:ascii="Arial" w:cs="Arial" w:eastAsia="Arial" w:hAnsi="Arial"/>
          <w:sz w:val="13"/>
          <w:szCs w:val="13"/>
          <w:color w:val="auto"/>
        </w:rPr>
        <w:t>–</w:t>
      </w:r>
      <w:r>
        <w:rPr>
          <w:rFonts w:ascii="Times New Roman" w:cs="Times New Roman" w:eastAsia="Times New Roman" w:hAnsi="Times New Roman"/>
          <w:sz w:val="13"/>
          <w:szCs w:val="13"/>
          <w:color w:val="auto"/>
        </w:rPr>
        <w:t>511.</w:t>
      </w:r>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http://dx.doi.org/10.1890/110053</w:t>
        </w:r>
      </w:hyperlink>
      <w:r>
        <w:rPr>
          <w:rFonts w:ascii="Times New Roman" w:cs="Times New Roman" w:eastAsia="Times New Roman" w:hAnsi="Times New Roman"/>
          <w:sz w:val="13"/>
          <w:szCs w:val="13"/>
          <w:color w:val="auto"/>
        </w:rPr>
        <w:t>.</w:t>
      </w:r>
    </w:p>
    <w:p>
      <w:pPr>
        <w:spacing w:after="0" w:line="18" w:lineRule="exact"/>
        <w:rPr>
          <w:sz w:val="20"/>
          <w:szCs w:val="20"/>
          <w:color w:val="auto"/>
        </w:rPr>
      </w:pPr>
    </w:p>
    <w:p>
      <w:pPr>
        <w:ind w:left="240" w:right="40" w:hanging="238"/>
        <w:spacing w:after="0" w:line="248"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IPAA, 2004. Reasonable and Prudent Practices for Stabilization (RAPPS) of Oil and Gas</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Construction Sites</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Karami, S., Torkashvand, P., Mozafari, S., Goudarzi, A., Ghodsi, M., 2013. The basic steps</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in waste management in the oil and gas exploration and production processes. Ann.</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Biol. Res. 4 (4), 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McBroom, M., Thomas, T., Zhang, Y., 2012. Soil erosion and surface water quality im-pacts of natural gas development in East Texas, USA. Water 4 (4), 944</w:t>
      </w:r>
      <w:r>
        <w:rPr>
          <w:rFonts w:ascii="Arial" w:cs="Arial" w:eastAsia="Arial" w:hAnsi="Arial"/>
          <w:sz w:val="13"/>
          <w:szCs w:val="13"/>
          <w:color w:val="auto"/>
        </w:rPr>
        <w:t>–</w:t>
      </w:r>
      <w:r>
        <w:rPr>
          <w:rFonts w:ascii="Times New Roman" w:cs="Times New Roman" w:eastAsia="Times New Roman" w:hAnsi="Times New Roman"/>
          <w:sz w:val="13"/>
          <w:szCs w:val="13"/>
          <w:color w:val="auto"/>
        </w:rPr>
        <w:t>958.</w:t>
      </w:r>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http://</w:t>
        </w:r>
      </w:hyperlink>
      <w:r>
        <w:rPr>
          <w:rFonts w:ascii="Times New Roman" w:cs="Times New Roman" w:eastAsia="Times New Roman" w:hAnsi="Times New Roman"/>
          <w:sz w:val="13"/>
          <w:szCs w:val="13"/>
          <w:color w:val="auto"/>
        </w:rPr>
        <w:t xml:space="preserve"> </w:t>
      </w:r>
      <w:hyperlink r:id="rId31">
        <w:r>
          <w:rPr>
            <w:rFonts w:ascii="Times New Roman" w:cs="Times New Roman" w:eastAsia="Times New Roman" w:hAnsi="Times New Roman"/>
            <w:sz w:val="13"/>
            <w:szCs w:val="13"/>
            <w:color w:val="004A76"/>
          </w:rPr>
          <w:t>dx.doi.org/10.3390/w4040944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Olmstead, Sheila M., Muehlenbachs, Lucija A., Shih, Jhih-Shyang, Chu, Ziyan, Krupnick,</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Alan J., 2013. Shale gas development impacts on surface water quality in</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Pennsylvania. Proc. Natl. Acad. Sci. U. S. A. 110 (13), 6</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SWRCB, 2012. Exec. Order No. NPDES NO. CAS618001, 3C.F.R. 12.</w:t>
      </w:r>
    </w:p>
    <w:p>
      <w:pPr>
        <w:spacing w:after="0" w:line="9" w:lineRule="exact"/>
        <w:rPr>
          <w:rFonts w:ascii="Times New Roman" w:cs="Times New Roman" w:eastAsia="Times New Roman" w:hAnsi="Times New Roman"/>
          <w:sz w:val="13"/>
          <w:szCs w:val="13"/>
          <w:color w:val="004A76"/>
        </w:rPr>
      </w:pPr>
    </w:p>
    <w:p>
      <w:pPr>
        <w:spacing w:after="0"/>
        <w:rPr>
          <w:sz w:val="20"/>
          <w:szCs w:val="20"/>
          <w:color w:val="auto"/>
        </w:rPr>
      </w:pPr>
      <w:r>
        <w:rPr>
          <w:rFonts w:ascii="Times New Roman" w:cs="Times New Roman" w:eastAsia="Times New Roman" w:hAnsi="Times New Roman"/>
          <w:sz w:val="13"/>
          <w:szCs w:val="13"/>
          <w:color w:val="auto"/>
        </w:rPr>
        <w:t>SWRCB, 2014. Exec. Order No. NPDES NO. CAS000001, 3C.F.R. 12.</w:t>
      </w:r>
    </w:p>
    <w:p>
      <w:pPr>
        <w:spacing w:after="0" w:line="10" w:lineRule="exact"/>
        <w:rPr>
          <w:rFonts w:ascii="Times New Roman" w:cs="Times New Roman" w:eastAsia="Times New Roman" w:hAnsi="Times New Roman"/>
          <w:sz w:val="13"/>
          <w:szCs w:val="13"/>
          <w:color w:val="004A76"/>
        </w:rPr>
      </w:pPr>
    </w:p>
    <w:p>
      <w:pPr>
        <w:ind w:left="240" w:right="2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State Water Resources Control Board.</w:t>
      </w:r>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http://www.waterboards.ca.gov/losangeles/water_</w:t>
        </w:r>
      </w:hyperlink>
      <w:r>
        <w:rPr>
          <w:rFonts w:ascii="Times New Roman" w:cs="Times New Roman" w:eastAsia="Times New Roman" w:hAnsi="Times New Roman"/>
          <w:sz w:val="13"/>
          <w:szCs w:val="13"/>
          <w:color w:val="auto"/>
        </w:rPr>
        <w:t xml:space="preserve"> </w:t>
      </w:r>
      <w:hyperlink r:id="rId33">
        <w:r>
          <w:rPr>
            <w:rFonts w:ascii="Times New Roman" w:cs="Times New Roman" w:eastAsia="Times New Roman" w:hAnsi="Times New Roman"/>
            <w:sz w:val="13"/>
            <w:szCs w:val="13"/>
            <w:color w:val="004A76"/>
          </w:rPr>
          <w:t>issues/programs/stormwater/sw_industrial.shtml</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40" w:hanging="238"/>
        <w:spacing w:after="0" w:line="255"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US EPA, 2006. Industrial Stormwater, Sector 1: Oil and Gas Extraction Facilities. EPA</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ce of Water EPA-833-F-06-024</w:t>
        </w:r>
      </w:hyperlink>
      <w:r>
        <w:rPr>
          <w:rFonts w:ascii="Times New Roman" w:cs="Times New Roman" w:eastAsia="Times New Roman" w:hAnsi="Times New Roman"/>
          <w:sz w:val="13"/>
          <w:szCs w:val="13"/>
          <w:color w:val="000000"/>
        </w:rPr>
        <w:t>.</w:t>
      </w:r>
    </w:p>
    <w:p>
      <w:pPr>
        <w:ind w:left="240" w:right="300" w:hanging="238"/>
        <w:spacing w:after="0" w:line="25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US EPA, 2009. Developing You Stormwater Pollution Prevention Plan: A Guide for</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Industrial Operators. EPA 833-B-09-002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20" w:hanging="238"/>
        <w:spacing w:after="0" w:line="262"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US EPA, 2010. Spill Prevention, Control, And Countermeasure (SPCC) Regulation; A</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Facility Owner/Operator</w:t>
        </w:r>
        <w:r>
          <w:rPr>
            <w:rFonts w:ascii="Arial" w:cs="Arial" w:eastAsia="Arial" w:hAnsi="Arial"/>
            <w:sz w:val="13"/>
            <w:szCs w:val="13"/>
            <w:color w:val="004A76"/>
          </w:rPr>
          <w:t>’</w:t>
        </w:r>
        <w:r>
          <w:rPr>
            <w:rFonts w:ascii="Times New Roman" w:cs="Times New Roman" w:eastAsia="Times New Roman" w:hAnsi="Times New Roman"/>
            <w:sz w:val="13"/>
            <w:szCs w:val="13"/>
            <w:color w:val="004A76"/>
          </w:rPr>
          <w:t>s Guide To Oil Pollution Prevention. Epa 540-K-09-001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2"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US EPA, 2014. Compilation of Publicly Available Sources of Voluntary Management</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Practices for Oil and Gas Exploration &amp; Production (E &amp; P) Wastes As They Address</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Pits, Tanks, and Land Application. US Environmental Protection Agency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ce of</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Solid Waste and Emergency Response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ce of Resource Conservation and Recovery</w:t>
        </w:r>
      </w:hyperlink>
      <w:r>
        <w:rPr>
          <w:rFonts w:ascii="Times New Roman" w:cs="Times New Roman" w:eastAsia="Times New Roman" w:hAnsi="Times New Roman"/>
          <w:sz w:val="13"/>
          <w:szCs w:val="13"/>
          <w:color w:val="000000"/>
        </w:rPr>
        <w:t>.</w:t>
      </w: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Williams, H.F.L., Havens, D.L., Banks, K.E., Wachal, D.J., 2008. Field-based monitoring of sediment runo</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 from natural gas well sites in Denton County, Texas, USA. Environ. Geol. 55 (7), 1463</w:t>
      </w:r>
      <w:r>
        <w:rPr>
          <w:rFonts w:ascii="Arial" w:cs="Arial" w:eastAsia="Arial" w:hAnsi="Arial"/>
          <w:sz w:val="13"/>
          <w:szCs w:val="13"/>
          <w:color w:val="auto"/>
        </w:rPr>
        <w:t>–</w:t>
      </w:r>
      <w:r>
        <w:rPr>
          <w:rFonts w:ascii="Times New Roman" w:cs="Times New Roman" w:eastAsia="Times New Roman" w:hAnsi="Times New Roman"/>
          <w:sz w:val="13"/>
          <w:szCs w:val="13"/>
          <w:color w:val="auto"/>
        </w:rPr>
        <w:t>1471.</w:t>
      </w:r>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http://dx.doi.org/10.1007/s00254-007-1096-9</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right="80" w:hanging="238"/>
        <w:spacing w:after="0" w:line="254"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Zinky, J., 2016. Implementation of senate bill 4 requirements. California State Control</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Water Resources Board. In: Lecture Presented at American Chemical Society. San</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Diego, March 2016</w:t>
        </w:r>
      </w:hyperlink>
      <w:r>
        <w:rPr>
          <w:rFonts w:ascii="Times New Roman" w:cs="Times New Roman" w:eastAsia="Times New Roman" w:hAnsi="Times New Roman"/>
          <w:sz w:val="13"/>
          <w:szCs w:val="13"/>
          <w:color w:val="000000"/>
        </w:rPr>
        <w:t>.</w:t>
      </w:r>
    </w:p>
    <w:p>
      <w:pPr>
        <w:spacing w:after="0" w:line="326"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3"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397"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3"/>
          <w:szCs w:val="13"/>
          <w:color w:val="auto"/>
        </w:rPr>
        <w:t>145</w:t>
      </w:r>
    </w:p>
    <w:sectPr>
      <w:pgSz w:w="11900" w:h="15874" w:orient="portrait"/>
      <w:cols w:equalWidth="0" w:num="1">
        <w:col w:w="10400"/>
      </w:cols>
      <w:pgMar w:left="760" w:top="676" w:right="746" w:bottom="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5"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12" Type="http://schemas.openxmlformats.org/officeDocument/2006/relationships/hyperlink" Target="http://dx.doi.org/10.1016/j.envsci.2017.06.016" TargetMode="External"/><Relationship Id="rId14" Type="http://schemas.openxmlformats.org/officeDocument/2006/relationships/hyperlink" Target="http://www.sciencedirect.com/science/journal/14629011" TargetMode="External"/><Relationship Id="rId16" Type="http://schemas.openxmlformats.org/officeDocument/2006/relationships/hyperlink" Target="http://www.elsevier.com/locate/envsci" TargetMode="External"/><Relationship Id="rId17" Type="http://schemas.openxmlformats.org/officeDocument/2006/relationships/hyperlink" Target="http://crossmark.crossref.org/dialog/?doi=10.1016/j.envsci.2017.06.016&amp;domain=pdf" TargetMode="External"/><Relationship Id="rId21" Type="http://schemas.openxmlformats.org/officeDocument/2006/relationships/hyperlink" Target="mailto:khadeeja@ucla.edu" TargetMode="External"/><Relationship Id="rId22" Type="http://schemas.openxmlformats.org/officeDocument/2006/relationships/hyperlink" Target="http://dx.doi.org/10.1080/02772248.2016.1160285" TargetMode="External"/><Relationship Id="rId23" Type="http://schemas.openxmlformats.org/officeDocument/2006/relationships/hyperlink" Target="http://refhub.elsevier.com/S1462-9011(16)30820-6/sbref0010" TargetMode="External"/><Relationship Id="rId24" Type="http://schemas.openxmlformats.org/officeDocument/2006/relationships/hyperlink" Target="http://www.ecy.wa.gov/programs/wq/permits/boatyard/index.html" TargetMode="External"/><Relationship Id="rId25" Type="http://schemas.openxmlformats.org/officeDocument/2006/relationships/hyperlink" Target="http://refhub.elsevier.com/S1462-9011(16)30820-6/sbref0020" TargetMode="External"/><Relationship Id="rId26" Type="http://schemas.openxmlformats.org/officeDocument/2006/relationships/hyperlink" Target="http://refhub.elsevier.com/S1462-9011(16)30820-6/sbref0025" TargetMode="External"/><Relationship Id="rId27" Type="http://schemas.openxmlformats.org/officeDocument/2006/relationships/hyperlink" Target="http://refhub.elsevier.com/S1462-9011(16)30820-6/sbref0030" TargetMode="External"/><Relationship Id="rId28" Type="http://schemas.openxmlformats.org/officeDocument/2006/relationships/hyperlink" Target="http://dx.doi.org/10.1890/110053" TargetMode="External"/><Relationship Id="rId29" Type="http://schemas.openxmlformats.org/officeDocument/2006/relationships/hyperlink" Target="http://refhub.elsevier.com/S1462-9011(16)30820-6/sbref0040" TargetMode="External"/><Relationship Id="rId30" Type="http://schemas.openxmlformats.org/officeDocument/2006/relationships/hyperlink" Target="http://refhub.elsevier.com/S1462-9011(16)30820-6/sbref0045" TargetMode="External"/><Relationship Id="rId31" Type="http://schemas.openxmlformats.org/officeDocument/2006/relationships/hyperlink" Target="http://dx.doi.org/10.3390/w4040944" TargetMode="External"/><Relationship Id="rId32" Type="http://schemas.openxmlformats.org/officeDocument/2006/relationships/hyperlink" Target="http://refhub.elsevier.com/S1462-9011(16)30820-6/sbref0055" TargetMode="External"/><Relationship Id="rId33" Type="http://schemas.openxmlformats.org/officeDocument/2006/relationships/hyperlink" Target="http://www.waterboards.ca.gov/losangeles/water_issues/programs/stormwater/sw_industrial.shtml" TargetMode="External"/><Relationship Id="rId34" Type="http://schemas.openxmlformats.org/officeDocument/2006/relationships/hyperlink" Target="http://refhub.elsevier.com/S1462-9011(16)30820-6/sbref0075" TargetMode="External"/><Relationship Id="rId35" Type="http://schemas.openxmlformats.org/officeDocument/2006/relationships/hyperlink" Target="http://refhub.elsevier.com/S1462-9011(16)30820-6/sbref0080" TargetMode="External"/><Relationship Id="rId36" Type="http://schemas.openxmlformats.org/officeDocument/2006/relationships/hyperlink" Target="http://refhub.elsevier.com/S1462-9011(16)30820-6/sbref0085" TargetMode="External"/><Relationship Id="rId37" Type="http://schemas.openxmlformats.org/officeDocument/2006/relationships/hyperlink" Target="http://refhub.elsevier.com/S1462-9011(16)30820-6/sbref0090" TargetMode="External"/><Relationship Id="rId38" Type="http://schemas.openxmlformats.org/officeDocument/2006/relationships/hyperlink" Target="http://dx.doi.org/10.1007/s00254-007-1096-9" TargetMode="External"/><Relationship Id="rId39" Type="http://schemas.openxmlformats.org/officeDocument/2006/relationships/hyperlink" Target="http://refhub.elsevier.com/S1462-9011(16)30820-6/sbref010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2023-11-10T20:31:51Z</dcterms:created>
  <dcterms:modified xsi:type="dcterms:W3CDTF">2023-11-10T20:31:51Z</dcterms:modified>
</cp:coreProperties>
</file>