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20"/>
        <w:spacing w:after="0"/>
        <w:rPr>
          <w:sz w:val="20"/>
          <w:szCs w:val="20"/>
          <w:color w:val="auto"/>
        </w:rPr>
      </w:pPr>
      <w:r>
        <w:rPr>
          <w:rFonts w:ascii="Times New Roman" w:cs="Times New Roman" w:eastAsia="Times New Roman" w:hAnsi="Times New Roman"/>
          <w:sz w:val="18"/>
          <w:szCs w:val="18"/>
          <w:b w:val="1"/>
          <w:bCs w:val="1"/>
          <w:color w:val="auto"/>
        </w:rPr>
        <w:drawing>
          <wp:anchor simplePos="0" relativeHeight="251657728" behindDoc="1" locked="0" layoutInCell="0" allowOverlap="1">
            <wp:simplePos x="0" y="0"/>
            <wp:positionH relativeFrom="page">
              <wp:posOffset>4791710</wp:posOffset>
            </wp:positionH>
            <wp:positionV relativeFrom="page">
              <wp:posOffset>627380</wp:posOffset>
            </wp:positionV>
            <wp:extent cx="2164080" cy="4330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2164080" cy="433070"/>
                    </a:xfrm>
                    <a:prstGeom prst="rect">
                      <a:avLst/>
                    </a:prstGeom>
                    <a:noFill/>
                  </pic:spPr>
                </pic:pic>
              </a:graphicData>
            </a:graphic>
          </wp:anchor>
        </w:drawing>
        <w:t>PETROLEUM EXPLORATION AND DEVELOPMENT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13970</wp:posOffset>
            </wp:positionH>
            <wp:positionV relativeFrom="paragraph">
              <wp:posOffset>-116205</wp:posOffset>
            </wp:positionV>
            <wp:extent cx="323215" cy="4318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323215" cy="431800"/>
                    </a:xfrm>
                    <a:prstGeom prst="rect">
                      <a:avLst/>
                    </a:prstGeom>
                    <a:noFill/>
                  </pic:spPr>
                </pic:pic>
              </a:graphicData>
            </a:graphic>
          </wp:anchor>
        </w:drawing>
      </w:r>
    </w:p>
    <w:p>
      <w:pPr>
        <w:spacing w:after="0" w:line="13" w:lineRule="exact"/>
        <w:rPr>
          <w:sz w:val="24"/>
          <w:szCs w:val="24"/>
          <w:color w:val="auto"/>
        </w:rPr>
      </w:pPr>
    </w:p>
    <w:p>
      <w:pPr>
        <w:ind w:left="620"/>
        <w:spacing w:after="0"/>
        <w:rPr>
          <w:sz w:val="20"/>
          <w:szCs w:val="20"/>
          <w:color w:val="auto"/>
        </w:rPr>
      </w:pPr>
      <w:r>
        <w:rPr>
          <w:rFonts w:ascii="Times New Roman" w:cs="Times New Roman" w:eastAsia="Times New Roman" w:hAnsi="Times New Roman"/>
          <w:sz w:val="18"/>
          <w:szCs w:val="18"/>
          <w:color w:val="auto"/>
        </w:rPr>
        <w:t>Volume 50, Issue 4, August 2023</w:t>
      </w:r>
    </w:p>
    <w:p>
      <w:pPr>
        <w:spacing w:after="0" w:line="33" w:lineRule="exact"/>
        <w:rPr>
          <w:sz w:val="24"/>
          <w:szCs w:val="24"/>
          <w:color w:val="auto"/>
        </w:rPr>
      </w:pPr>
    </w:p>
    <w:p>
      <w:pPr>
        <w:ind w:left="620"/>
        <w:spacing w:after="0"/>
        <w:rPr>
          <w:sz w:val="20"/>
          <w:szCs w:val="20"/>
          <w:color w:val="auto"/>
        </w:rPr>
      </w:pPr>
      <w:r>
        <w:rPr>
          <w:rFonts w:ascii="Times New Roman" w:cs="Times New Roman" w:eastAsia="Times New Roman" w:hAnsi="Times New Roman"/>
          <w:sz w:val="18"/>
          <w:szCs w:val="18"/>
          <w:color w:val="auto"/>
        </w:rPr>
        <w:t>Online English edition of the Chinese language journal</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4714240</wp:posOffset>
                </wp:positionH>
                <wp:positionV relativeFrom="paragraph">
                  <wp:posOffset>111760</wp:posOffset>
                </wp:positionV>
                <wp:extent cx="1620520" cy="26416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0520" cy="264160"/>
                        </a:xfrm>
                        <a:prstGeom prst="rect">
                          <a:avLst/>
                        </a:prstGeom>
                        <a:solidFill>
                          <a:srgbClr val="969696"/>
                        </a:solidFill>
                      </wps:spPr>
                      <wps:bodyPr/>
                    </wps:wsp>
                  </a:graphicData>
                </a:graphic>
              </wp:anchor>
            </w:drawing>
          </mc:Choice>
          <mc:Fallback>
            <w:pict>
              <v:rect id="Shape 3" o:spid="_x0000_s1028" style="position:absolute;margin-left:371.2pt;margin-top:8.8pt;width:127.6pt;height:20.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69696" stroked="f"/>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111125</wp:posOffset>
                </wp:positionV>
                <wp:extent cx="633539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53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8.75pt" to="498.7pt,8.75pt" o:allowincell="f" strokecolor="#000000" strokeweight="0.48pt"/>
            </w:pict>
          </mc:Fallback>
        </mc:AlternateContent>
      </w:r>
    </w:p>
    <w:p>
      <w:pPr>
        <w:spacing w:after="0" w:line="253" w:lineRule="exact"/>
        <w:rPr>
          <w:sz w:val="24"/>
          <w:szCs w:val="24"/>
          <w:color w:val="auto"/>
        </w:rPr>
      </w:pPr>
    </w:p>
    <w:p>
      <w:pPr>
        <w:spacing w:after="0"/>
        <w:tabs>
          <w:tab w:leader="none" w:pos="7860" w:val="left"/>
        </w:tabs>
        <w:rPr>
          <w:sz w:val="20"/>
          <w:szCs w:val="20"/>
          <w:color w:val="auto"/>
        </w:rPr>
      </w:pPr>
      <w:r>
        <w:rPr>
          <w:rFonts w:ascii="Times New Roman" w:cs="Times New Roman" w:eastAsia="Times New Roman" w:hAnsi="Times New Roman"/>
          <w:sz w:val="18"/>
          <w:szCs w:val="18"/>
          <w:b w:val="1"/>
          <w:bCs w:val="1"/>
          <w:color w:val="auto"/>
        </w:rPr>
        <w:t>Cite this article as:</w:t>
      </w:r>
      <w:r>
        <w:rPr>
          <w:rFonts w:ascii="Times New Roman" w:cs="Times New Roman" w:eastAsia="Times New Roman" w:hAnsi="Times New Roman"/>
          <w:sz w:val="18"/>
          <w:szCs w:val="18"/>
          <w:color w:val="auto"/>
        </w:rPr>
        <w:t xml:space="preserve"> PETROL. EXPLOR. DEVELOP., 2023, 50(4): 944–954.</w:t>
      </w:r>
      <w:r>
        <w:rPr>
          <w:sz w:val="20"/>
          <w:szCs w:val="20"/>
          <w:color w:val="auto"/>
        </w:rPr>
        <w:tab/>
      </w:r>
      <w:r>
        <w:rPr>
          <w:rFonts w:ascii="Arial" w:cs="Arial" w:eastAsia="Arial" w:hAnsi="Arial"/>
          <w:sz w:val="17"/>
          <w:szCs w:val="17"/>
          <w:b w:val="1"/>
          <w:bCs w:val="1"/>
          <w:color w:val="FFFFFF"/>
        </w:rPr>
        <w:t>RESEARCH PAPER</w:t>
      </w:r>
    </w:p>
    <w:p>
      <w:pPr>
        <w:spacing w:after="0" w:line="200" w:lineRule="exact"/>
        <w:rPr>
          <w:sz w:val="24"/>
          <w:szCs w:val="24"/>
          <w:color w:val="auto"/>
        </w:rPr>
      </w:pPr>
    </w:p>
    <w:p>
      <w:pPr>
        <w:spacing w:after="0" w:line="236" w:lineRule="exact"/>
        <w:rPr>
          <w:sz w:val="24"/>
          <w:szCs w:val="24"/>
          <w:color w:val="auto"/>
        </w:rPr>
      </w:pPr>
    </w:p>
    <w:p>
      <w:pPr>
        <w:ind w:right="720"/>
        <w:spacing w:after="0" w:line="224" w:lineRule="auto"/>
        <w:rPr>
          <w:sz w:val="20"/>
          <w:szCs w:val="20"/>
          <w:color w:val="auto"/>
        </w:rPr>
      </w:pPr>
      <w:r>
        <w:rPr>
          <w:rFonts w:ascii="Times New Roman" w:cs="Times New Roman" w:eastAsia="Times New Roman" w:hAnsi="Times New Roman"/>
          <w:sz w:val="40"/>
          <w:szCs w:val="40"/>
          <w:b w:val="1"/>
          <w:bCs w:val="1"/>
          <w:color w:val="auto"/>
        </w:rPr>
        <w:t>Shale oil and gas exploitation in China: Technical comparison with US and development suggestions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5546090</wp:posOffset>
            </wp:positionH>
            <wp:positionV relativeFrom="paragraph">
              <wp:posOffset>1270</wp:posOffset>
            </wp:positionV>
            <wp:extent cx="335280" cy="3721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335280" cy="37211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5" w:lineRule="exact"/>
        <w:rPr>
          <w:sz w:val="24"/>
          <w:szCs w:val="24"/>
          <w:color w:val="auto"/>
        </w:rPr>
      </w:pPr>
    </w:p>
    <w:p>
      <w:pPr>
        <w:ind w:right="80"/>
        <w:spacing w:after="0" w:line="230" w:lineRule="auto"/>
        <w:rPr>
          <w:sz w:val="20"/>
          <w:szCs w:val="20"/>
          <w:color w:val="auto"/>
        </w:rPr>
      </w:pPr>
      <w:r>
        <w:rPr>
          <w:rFonts w:ascii="Times New Roman" w:cs="Times New Roman" w:eastAsia="Times New Roman" w:hAnsi="Times New Roman"/>
          <w:sz w:val="22"/>
          <w:szCs w:val="22"/>
          <w:color w:val="auto"/>
        </w:rPr>
        <w:t>LEI Qun</w:t>
      </w:r>
      <w:r>
        <w:rPr>
          <w:rFonts w:ascii="Times New Roman" w:cs="Times New Roman" w:eastAsia="Times New Roman" w:hAnsi="Times New Roman"/>
          <w:sz w:val="25"/>
          <w:szCs w:val="25"/>
          <w:color w:val="auto"/>
          <w:vertAlign w:val="superscript"/>
        </w:rPr>
        <w:t>1, 2</w:t>
      </w:r>
      <w:r>
        <w:rPr>
          <w:rFonts w:ascii="Times New Roman" w:cs="Times New Roman" w:eastAsia="Times New Roman" w:hAnsi="Times New Roman"/>
          <w:sz w:val="22"/>
          <w:szCs w:val="22"/>
          <w:color w:val="auto"/>
        </w:rPr>
        <w:t>, WENG Dingwei</w:t>
      </w:r>
      <w:r>
        <w:rPr>
          <w:rFonts w:ascii="Times New Roman" w:cs="Times New Roman" w:eastAsia="Times New Roman" w:hAnsi="Times New Roman"/>
          <w:sz w:val="25"/>
          <w:szCs w:val="25"/>
          <w:color w:val="auto"/>
          <w:vertAlign w:val="superscript"/>
        </w:rPr>
        <w:t>1, 2,</w:t>
      </w:r>
      <w:r>
        <w:rPr>
          <w:rFonts w:ascii="Times New Roman" w:cs="Times New Roman" w:eastAsia="Times New Roman" w:hAnsi="Times New Roman"/>
          <w:sz w:val="22"/>
          <w:szCs w:val="22"/>
          <w:color w:val="auto"/>
        </w:rPr>
        <w:t>*, GUAN Baoshan</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22"/>
          <w:szCs w:val="22"/>
          <w:color w:val="auto"/>
        </w:rPr>
        <w:t>, SHI Junfeng</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22"/>
          <w:szCs w:val="22"/>
          <w:color w:val="auto"/>
        </w:rPr>
        <w:t>, CAI Bo</w:t>
      </w:r>
      <w:r>
        <w:rPr>
          <w:rFonts w:ascii="Times New Roman" w:cs="Times New Roman" w:eastAsia="Times New Roman" w:hAnsi="Times New Roman"/>
          <w:sz w:val="25"/>
          <w:szCs w:val="25"/>
          <w:color w:val="auto"/>
          <w:vertAlign w:val="superscript"/>
        </w:rPr>
        <w:t>1, 2</w:t>
      </w:r>
      <w:r>
        <w:rPr>
          <w:rFonts w:ascii="Times New Roman" w:cs="Times New Roman" w:eastAsia="Times New Roman" w:hAnsi="Times New Roman"/>
          <w:sz w:val="22"/>
          <w:szCs w:val="22"/>
          <w:color w:val="auto"/>
        </w:rPr>
        <w:t>, HE Chunming</w:t>
      </w:r>
      <w:r>
        <w:rPr>
          <w:rFonts w:ascii="Times New Roman" w:cs="Times New Roman" w:eastAsia="Times New Roman" w:hAnsi="Times New Roman"/>
          <w:sz w:val="25"/>
          <w:szCs w:val="25"/>
          <w:color w:val="auto"/>
          <w:vertAlign w:val="superscript"/>
        </w:rPr>
        <w:t>1, 2</w:t>
      </w:r>
      <w:r>
        <w:rPr>
          <w:rFonts w:ascii="Times New Roman" w:cs="Times New Roman" w:eastAsia="Times New Roman" w:hAnsi="Times New Roman"/>
          <w:sz w:val="22"/>
          <w:szCs w:val="22"/>
          <w:color w:val="auto"/>
        </w:rPr>
        <w:t>, SUN Qiang</w:t>
      </w:r>
      <w:r>
        <w:rPr>
          <w:rFonts w:ascii="Times New Roman" w:cs="Times New Roman" w:eastAsia="Times New Roman" w:hAnsi="Times New Roman"/>
          <w:sz w:val="25"/>
          <w:szCs w:val="25"/>
          <w:color w:val="auto"/>
          <w:vertAlign w:val="superscript"/>
        </w:rPr>
        <w:t>1, 2</w:t>
      </w:r>
      <w:r>
        <w:rPr>
          <w:rFonts w:ascii="Times New Roman" w:cs="Times New Roman" w:eastAsia="Times New Roman" w:hAnsi="Times New Roman"/>
          <w:sz w:val="22"/>
          <w:szCs w:val="22"/>
          <w:color w:val="auto"/>
        </w:rPr>
        <w:t>, HUANG Rui</w:t>
      </w:r>
      <w:r>
        <w:rPr>
          <w:rFonts w:ascii="Times New Roman" w:cs="Times New Roman" w:eastAsia="Times New Roman" w:hAnsi="Times New Roman"/>
          <w:sz w:val="25"/>
          <w:szCs w:val="25"/>
          <w:color w:val="auto"/>
          <w:vertAlign w:val="superscript"/>
        </w:rPr>
        <w:t>1, 2</w:t>
      </w:r>
    </w:p>
    <w:p>
      <w:pPr>
        <w:spacing w:after="0" w:line="74" w:lineRule="exact"/>
        <w:rPr>
          <w:sz w:val="24"/>
          <w:szCs w:val="24"/>
          <w:color w:val="auto"/>
        </w:rPr>
      </w:pPr>
    </w:p>
    <w:p>
      <w:pPr>
        <w:ind w:left="140" w:hanging="136"/>
        <w:spacing w:after="0"/>
        <w:tabs>
          <w:tab w:leader="none" w:pos="140" w:val="left"/>
        </w:tabs>
        <w:numPr>
          <w:ilvl w:val="0"/>
          <w:numId w:val="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PetroChina Research Institute of Petroleum Exploration &amp; Development, Beijing 100083, China;</w:t>
      </w:r>
    </w:p>
    <w:p>
      <w:pPr>
        <w:spacing w:after="0" w:line="56" w:lineRule="exact"/>
        <w:rPr>
          <w:rFonts w:ascii="Times New Roman" w:cs="Times New Roman" w:eastAsia="Times New Roman" w:hAnsi="Times New Roman"/>
          <w:sz w:val="16"/>
          <w:szCs w:val="16"/>
          <w:color w:val="auto"/>
        </w:rPr>
      </w:pPr>
    </w:p>
    <w:p>
      <w:pPr>
        <w:ind w:left="160" w:hanging="156"/>
        <w:spacing w:after="0"/>
        <w:tabs>
          <w:tab w:leader="none" w:pos="160" w:val="left"/>
        </w:tabs>
        <w:numPr>
          <w:ilvl w:val="0"/>
          <w:numId w:val="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CNPC Key Laboratory of Oil &amp; Gas Reservoir Stimulation, Langfang 065007, China</w:t>
      </w:r>
    </w:p>
    <w:p>
      <w:pPr>
        <w:spacing w:after="0" w:line="200" w:lineRule="exact"/>
        <w:rPr>
          <w:sz w:val="24"/>
          <w:szCs w:val="24"/>
          <w:color w:val="auto"/>
        </w:rPr>
      </w:pPr>
    </w:p>
    <w:p>
      <w:pPr>
        <w:spacing w:after="0" w:line="349" w:lineRule="exact"/>
        <w:rPr>
          <w:sz w:val="24"/>
          <w:szCs w:val="24"/>
          <w:color w:val="auto"/>
        </w:rPr>
      </w:pPr>
    </w:p>
    <w:p>
      <w:pPr>
        <w:jc w:val="both"/>
        <w:ind w:left="280" w:right="280"/>
        <w:spacing w:after="0" w:line="300" w:lineRule="auto"/>
        <w:rPr>
          <w:sz w:val="20"/>
          <w:szCs w:val="20"/>
          <w:color w:val="auto"/>
        </w:rPr>
      </w:pPr>
      <w:r>
        <w:rPr>
          <w:rFonts w:ascii="Times New Roman" w:cs="Times New Roman" w:eastAsia="Times New Roman" w:hAnsi="Times New Roman"/>
          <w:sz w:val="17"/>
          <w:szCs w:val="17"/>
          <w:b w:val="1"/>
          <w:bCs w:val="1"/>
          <w:color w:val="auto"/>
        </w:rPr>
        <w:t>Abstract:</w:t>
      </w:r>
      <w:r>
        <w:rPr>
          <w:rFonts w:ascii="Times New Roman" w:cs="Times New Roman" w:eastAsia="Times New Roman" w:hAnsi="Times New Roman"/>
          <w:sz w:val="17"/>
          <w:szCs w:val="17"/>
          <w:color w:val="auto"/>
        </w:rPr>
        <w:t xml:space="preserve"> The shale oil and gas exploitation in China is technically benchmarked with the United States in terms of develop-ment philosophy, reservoir stimulation treatment, fracturing parameters, fracturing equipment and materials, oil/gas produc-tion technology, and data/achievements sharing. It is recognized that the shale oil and gas exploitation in China is weak in seven aspects: understanding of flow regimes, producing of oil/gas reserves, monitoring of complex fractures, repeated stimu-lation technology, oil/gas production technology, casing deformation prevention technology, and wellbore maintenance tech-nology. Combined with the geological and engineering factors of shale oil and gas in China, the development suggestions of four projects are proposed from the macro- and micro-perspective, namely, basic innovation project, exploitation technology project, oil/gas production stabilization project, and supporting efficiency-improvement project, so as to promote the rapid, ef-ficient, stable, green and extensive development of shale oil and gas industry chain and innovation chain and ultimately achieve the goal of “oil volume stabilizing and gas volume increasing”.</w:t>
      </w:r>
    </w:p>
    <w:p>
      <w:pPr>
        <w:spacing w:after="0" w:line="377" w:lineRule="exact"/>
        <w:rPr>
          <w:sz w:val="24"/>
          <w:szCs w:val="24"/>
          <w:color w:val="auto"/>
        </w:rPr>
      </w:pPr>
    </w:p>
    <w:p>
      <w:pPr>
        <w:jc w:val="both"/>
        <w:ind w:left="280" w:right="280"/>
        <w:spacing w:after="0" w:line="272" w:lineRule="auto"/>
        <w:rPr>
          <w:sz w:val="20"/>
          <w:szCs w:val="20"/>
          <w:color w:val="auto"/>
        </w:rPr>
      </w:pPr>
      <w:r>
        <w:rPr>
          <w:rFonts w:ascii="Times New Roman" w:cs="Times New Roman" w:eastAsia="Times New Roman" w:hAnsi="Times New Roman"/>
          <w:sz w:val="17"/>
          <w:szCs w:val="17"/>
          <w:b w:val="1"/>
          <w:bCs w:val="1"/>
          <w:color w:val="auto"/>
        </w:rPr>
        <w:t>Key words:</w:t>
      </w:r>
      <w:r>
        <w:rPr>
          <w:rFonts w:ascii="Times New Roman" w:cs="Times New Roman" w:eastAsia="Times New Roman" w:hAnsi="Times New Roman"/>
          <w:sz w:val="17"/>
          <w:szCs w:val="17"/>
          <w:color w:val="auto"/>
        </w:rPr>
        <w:t xml:space="preserve"> shale oil and gas; reservoir stimulation; oil/gas production technology; oil/gas development philosophy; reservoir stimulation treatment; flow regime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125730</wp:posOffset>
                </wp:positionV>
                <wp:extent cx="633603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60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9.9pt" to="499.05pt,9.9pt" o:allowincell="f" strokecolor="#000000" strokeweight="0.48pt"/>
            </w:pict>
          </mc:Fallback>
        </mc:AlternateContent>
      </w:r>
    </w:p>
    <w:p>
      <w:pPr>
        <w:sectPr>
          <w:pgSz w:w="11900" w:h="16840" w:orient="portrait"/>
          <w:cols w:equalWidth="0" w:num="1">
            <w:col w:w="9980"/>
          </w:cols>
          <w:pgMar w:left="960" w:top="980" w:right="964" w:bottom="411" w:gutter="0" w:footer="0" w:header="0"/>
        </w:sectPr>
      </w:pPr>
    </w:p>
    <w:p>
      <w:pPr>
        <w:spacing w:after="0" w:line="200" w:lineRule="exact"/>
        <w:rPr>
          <w:sz w:val="24"/>
          <w:szCs w:val="24"/>
          <w:color w:val="auto"/>
        </w:rPr>
      </w:pPr>
    </w:p>
    <w:p>
      <w:pPr>
        <w:spacing w:after="0" w:line="264"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Introduction</w:t>
      </w:r>
    </w:p>
    <w:p>
      <w:pPr>
        <w:spacing w:after="0" w:line="177" w:lineRule="exact"/>
        <w:rPr>
          <w:sz w:val="24"/>
          <w:szCs w:val="24"/>
          <w:color w:val="auto"/>
        </w:rPr>
      </w:pPr>
    </w:p>
    <w:p>
      <w:pPr>
        <w:jc w:val="both"/>
        <w:ind w:firstLine="193"/>
        <w:spacing w:after="0" w:line="269" w:lineRule="auto"/>
        <w:rPr>
          <w:sz w:val="20"/>
          <w:szCs w:val="20"/>
          <w:color w:val="auto"/>
        </w:rPr>
      </w:pPr>
      <w:r>
        <w:rPr>
          <w:rFonts w:ascii="Times New Roman" w:cs="Times New Roman" w:eastAsia="Times New Roman" w:hAnsi="Times New Roman"/>
          <w:sz w:val="19"/>
          <w:szCs w:val="19"/>
          <w:color w:val="auto"/>
        </w:rPr>
        <w:t>As conventional oil and gas resources increasingly de-plete, unconventional low-grade resources such as shale oil and gas have become a popular field for exploration and development at home and abroad. The United States has taken the lead in accomplishing the shale oil and gas revolution, realizing the large-scale productivity con-struction of shale oil and gas resources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9"/>
          <w:szCs w:val="19"/>
          <w:color w:val="auto"/>
        </w:rPr>
        <w:t>. Statistics show that the crude oil output in the United States in 2021 is 5.49×10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xml:space="preserve"> t, of which shale oil is 3.62×10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xml:space="preserve"> t, accounting for 65.9%; natural gas output is 9736×10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xml:space="preserve"> m</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of which shale gas is 7643×10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xml:space="preserve"> m</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accounting for 78.5%</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Drawing on the successful development experiences of shale oil and gas in the United States, China has also set off a boom in shale oil and gas exploration and development. Statistics show that by the end of 2021, China National Petroleum Corporation (hereinafter referred to as CNPC) had a total of 13.05×10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xml:space="preserve"> t of proved shale oil geological reserves and 1.70×10</w:t>
      </w:r>
      <w:r>
        <w:rPr>
          <w:rFonts w:ascii="Times New Roman" w:cs="Times New Roman" w:eastAsia="Times New Roman" w:hAnsi="Times New Roman"/>
          <w:sz w:val="22"/>
          <w:szCs w:val="22"/>
          <w:color w:val="auto"/>
          <w:vertAlign w:val="superscript"/>
        </w:rPr>
        <w:t>12</w:t>
      </w:r>
      <w:r>
        <w:rPr>
          <w:rFonts w:ascii="Times New Roman" w:cs="Times New Roman" w:eastAsia="Times New Roman" w:hAnsi="Times New Roman"/>
          <w:sz w:val="19"/>
          <w:szCs w:val="19"/>
          <w:color w:val="auto"/>
        </w:rPr>
        <w:t xml:space="preserve"> m</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xml:space="preserve"> of proved shale gas geological reserves. 2021</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102870</wp:posOffset>
                </wp:positionV>
                <wp:extent cx="108077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807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1pt" to="85.25pt,8.1pt" o:allowincell="f" strokecolor="#000000" strokeweight="0.48pt"/>
            </w:pict>
          </mc:Fallback>
        </mc:AlternateContent>
      </w:r>
    </w:p>
    <w:p>
      <w:pPr>
        <w:spacing w:after="0" w:line="244" w:lineRule="exact"/>
        <w:rPr>
          <w:sz w:val="24"/>
          <w:szCs w:val="24"/>
          <w:color w:val="auto"/>
        </w:rPr>
      </w:pPr>
    </w:p>
    <w:p>
      <w:pPr>
        <w:spacing w:after="0"/>
        <w:rPr>
          <w:sz w:val="20"/>
          <w:szCs w:val="20"/>
          <w:color w:val="auto"/>
        </w:rPr>
      </w:pPr>
      <w:r>
        <w:rPr>
          <w:rFonts w:ascii="Times New Roman" w:cs="Times New Roman" w:eastAsia="Times New Roman" w:hAnsi="Times New Roman"/>
          <w:sz w:val="15"/>
          <w:szCs w:val="15"/>
          <w:b w:val="1"/>
          <w:bCs w:val="1"/>
          <w:color w:val="auto"/>
        </w:rPr>
        <w:t>Received date:</w:t>
      </w:r>
      <w:r>
        <w:rPr>
          <w:rFonts w:ascii="Times New Roman" w:cs="Times New Roman" w:eastAsia="Times New Roman" w:hAnsi="Times New Roman"/>
          <w:sz w:val="15"/>
          <w:szCs w:val="15"/>
          <w:color w:val="auto"/>
        </w:rPr>
        <w:t xml:space="preserve"> 24 Oct. 2022; </w:t>
      </w:r>
      <w:r>
        <w:rPr>
          <w:rFonts w:ascii="Times New Roman" w:cs="Times New Roman" w:eastAsia="Times New Roman" w:hAnsi="Times New Roman"/>
          <w:sz w:val="15"/>
          <w:szCs w:val="15"/>
          <w:b w:val="1"/>
          <w:bCs w:val="1"/>
          <w:color w:val="auto"/>
        </w:rPr>
        <w:t>Revised date:</w:t>
      </w:r>
      <w:r>
        <w:rPr>
          <w:rFonts w:ascii="Times New Roman" w:cs="Times New Roman" w:eastAsia="Times New Roman" w:hAnsi="Times New Roman"/>
          <w:sz w:val="15"/>
          <w:szCs w:val="15"/>
          <w:color w:val="auto"/>
        </w:rPr>
        <w:t xml:space="preserve"> 28 May 2023.</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99" w:lineRule="exact"/>
        <w:rPr>
          <w:sz w:val="24"/>
          <w:szCs w:val="24"/>
          <w:color w:val="auto"/>
        </w:rPr>
      </w:pPr>
    </w:p>
    <w:p>
      <w:pPr>
        <w:jc w:val="both"/>
        <w:spacing w:after="0" w:line="266" w:lineRule="auto"/>
        <w:rPr>
          <w:sz w:val="20"/>
          <w:szCs w:val="20"/>
          <w:color w:val="auto"/>
        </w:rPr>
      </w:pPr>
      <w:r>
        <w:rPr>
          <w:rFonts w:ascii="Times New Roman" w:cs="Times New Roman" w:eastAsia="Times New Roman" w:hAnsi="Times New Roman"/>
          <w:sz w:val="19"/>
          <w:szCs w:val="19"/>
          <w:color w:val="auto"/>
        </w:rPr>
        <w:t>saw the peak of CNPC's shale oil and gas production, in which annual shale oil output was 257×10</w:t>
      </w:r>
      <w:r>
        <w:rPr>
          <w:rFonts w:ascii="Times New Roman" w:cs="Times New Roman" w:eastAsia="Times New Roman" w:hAnsi="Times New Roman"/>
          <w:sz w:val="22"/>
          <w:szCs w:val="22"/>
          <w:color w:val="auto"/>
          <w:vertAlign w:val="superscript"/>
        </w:rPr>
        <w:t>4</w:t>
      </w:r>
      <w:r>
        <w:rPr>
          <w:rFonts w:ascii="Times New Roman" w:cs="Times New Roman" w:eastAsia="Times New Roman" w:hAnsi="Times New Roman"/>
          <w:sz w:val="19"/>
          <w:szCs w:val="19"/>
          <w:color w:val="auto"/>
        </w:rPr>
        <w:t xml:space="preserve"> t, accounting for 2.5% of total crude oil production; annual shale gas output was 128.7×10</w:t>
      </w:r>
      <w:r>
        <w:rPr>
          <w:rFonts w:ascii="Times New Roman" w:cs="Times New Roman" w:eastAsia="Times New Roman" w:hAnsi="Times New Roman"/>
          <w:sz w:val="22"/>
          <w:szCs w:val="22"/>
          <w:color w:val="auto"/>
          <w:vertAlign w:val="superscript"/>
        </w:rPr>
        <w:t>8</w:t>
      </w:r>
      <w:r>
        <w:rPr>
          <w:rFonts w:ascii="Times New Roman" w:cs="Times New Roman" w:eastAsia="Times New Roman" w:hAnsi="Times New Roman"/>
          <w:sz w:val="19"/>
          <w:szCs w:val="19"/>
          <w:color w:val="auto"/>
        </w:rPr>
        <w:t xml:space="preserve"> m</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accounting for 9.3% of the total natural gas production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9"/>
          <w:szCs w:val="19"/>
          <w:color w:val="auto"/>
        </w:rPr>
        <w:t>. Shale oil and gas is gradually becoming an important replacement resource for con-ventional oil and gas at home and abroad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[4–5]</w:t>
      </w:r>
      <w:r>
        <w:rPr>
          <w:rFonts w:ascii="Times New Roman" w:cs="Times New Roman" w:eastAsia="Times New Roman" w:hAnsi="Times New Roman"/>
          <w:sz w:val="19"/>
          <w:szCs w:val="19"/>
          <w:color w:val="auto"/>
        </w:rPr>
        <w:t>.</w:t>
      </w:r>
    </w:p>
    <w:p>
      <w:pPr>
        <w:spacing w:after="0" w:line="14" w:lineRule="exact"/>
        <w:rPr>
          <w:sz w:val="24"/>
          <w:szCs w:val="24"/>
          <w:color w:val="auto"/>
        </w:rPr>
      </w:pPr>
    </w:p>
    <w:p>
      <w:pPr>
        <w:jc w:val="both"/>
        <w:ind w:firstLine="193"/>
        <w:spacing w:after="0" w:line="290" w:lineRule="auto"/>
        <w:rPr>
          <w:sz w:val="20"/>
          <w:szCs w:val="20"/>
          <w:color w:val="auto"/>
        </w:rPr>
      </w:pPr>
      <w:r>
        <w:rPr>
          <w:rFonts w:ascii="Times New Roman" w:cs="Times New Roman" w:eastAsia="Times New Roman" w:hAnsi="Times New Roman"/>
          <w:sz w:val="19"/>
          <w:szCs w:val="19"/>
          <w:color w:val="auto"/>
        </w:rPr>
        <w:t>This paper systematically summarizes the shortcom-ings of China's shale oil and gas resources development in seven aspects, such as the understanding of flow re-gime and the utilization of oil and gas reserves, by com-paring the technical progress of China and the United States in six aspects of shale oil and gas reservoir stimu-lation, and oil and gas production. It finally puts forward four development suggestions, such as the construction of basic innovation project and exploitation technology project, from the macro to micro perspective, so as to promote large-scale productivity construction and benefit development of shale oil and gas.</w:t>
      </w:r>
    </w:p>
    <w:p>
      <w:pPr>
        <w:spacing w:after="0" w:line="751" w:lineRule="exact"/>
        <w:rPr>
          <w:sz w:val="24"/>
          <w:szCs w:val="24"/>
          <w:color w:val="auto"/>
        </w:rPr>
      </w:pPr>
    </w:p>
    <w:p>
      <w:pPr>
        <w:sectPr>
          <w:pgSz w:w="11900" w:h="16840" w:orient="portrait"/>
          <w:cols w:equalWidth="0" w:num="2">
            <w:col w:w="4760" w:space="460"/>
            <w:col w:w="4760"/>
          </w:cols>
          <w:pgMar w:left="960" w:top="980" w:right="964" w:bottom="411" w:gutter="0" w:footer="0" w:header="0"/>
          <w:type w:val="continuous"/>
        </w:sectPr>
      </w:pPr>
    </w:p>
    <w:p>
      <w:pPr>
        <w:ind w:left="120" w:hanging="116"/>
        <w:spacing w:after="0"/>
        <w:tabs>
          <w:tab w:leader="none" w:pos="120" w:val="left"/>
        </w:tabs>
        <w:numPr>
          <w:ilvl w:val="0"/>
          <w:numId w:val="2"/>
        </w:numPr>
        <w:rPr>
          <w:rFonts w:ascii="Times New Roman" w:cs="Times New Roman" w:eastAsia="Times New Roman" w:hAnsi="Times New Roman"/>
          <w:sz w:val="15"/>
          <w:szCs w:val="15"/>
          <w:b w:val="1"/>
          <w:bCs w:val="1"/>
          <w:color w:val="auto"/>
        </w:rPr>
      </w:pPr>
      <w:r>
        <w:rPr>
          <w:rFonts w:ascii="Times New Roman" w:cs="Times New Roman" w:eastAsia="Times New Roman" w:hAnsi="Times New Roman"/>
          <w:sz w:val="15"/>
          <w:szCs w:val="15"/>
          <w:b w:val="1"/>
          <w:bCs w:val="1"/>
          <w:color w:val="auto"/>
        </w:rPr>
        <w:t>Corresponding author.</w:t>
      </w:r>
      <w:r>
        <w:rPr>
          <w:rFonts w:ascii="Times New Roman" w:cs="Times New Roman" w:eastAsia="Times New Roman" w:hAnsi="Times New Roman"/>
          <w:sz w:val="15"/>
          <w:szCs w:val="15"/>
          <w:color w:val="auto"/>
        </w:rPr>
        <w:t xml:space="preserve"> E-mail: wendw69@petrochina.com.cn</w:t>
      </w:r>
    </w:p>
    <w:p>
      <w:pPr>
        <w:spacing w:after="0" w:line="27" w:lineRule="exact"/>
        <w:rPr>
          <w:sz w:val="24"/>
          <w:szCs w:val="24"/>
          <w:color w:val="auto"/>
        </w:rPr>
      </w:pPr>
    </w:p>
    <w:p>
      <w:pPr>
        <w:spacing w:after="0"/>
        <w:rPr>
          <w:sz w:val="20"/>
          <w:szCs w:val="20"/>
          <w:color w:val="auto"/>
        </w:rPr>
      </w:pPr>
      <w:r>
        <w:rPr>
          <w:rFonts w:ascii="Times New Roman" w:cs="Times New Roman" w:eastAsia="Times New Roman" w:hAnsi="Times New Roman"/>
          <w:sz w:val="15"/>
          <w:szCs w:val="15"/>
          <w:b w:val="1"/>
          <w:bCs w:val="1"/>
          <w:color w:val="auto"/>
        </w:rPr>
        <w:t>Foundation item:</w:t>
      </w:r>
      <w:r>
        <w:rPr>
          <w:rFonts w:ascii="Times New Roman" w:cs="Times New Roman" w:eastAsia="Times New Roman" w:hAnsi="Times New Roman"/>
          <w:sz w:val="15"/>
          <w:szCs w:val="15"/>
          <w:color w:val="auto"/>
        </w:rPr>
        <w:t xml:space="preserve"> Supported by the CNPC Basic and Prospective Project (2021DJ45).</w:t>
      </w:r>
    </w:p>
    <w:p>
      <w:pPr>
        <w:spacing w:after="0" w:line="11" w:lineRule="exact"/>
        <w:rPr>
          <w:sz w:val="24"/>
          <w:szCs w:val="24"/>
          <w:color w:val="auto"/>
        </w:rPr>
      </w:pPr>
    </w:p>
    <w:p>
      <w:pPr>
        <w:spacing w:after="0"/>
        <w:rPr>
          <w:sz w:val="20"/>
          <w:szCs w:val="20"/>
          <w:color w:val="auto"/>
        </w:rPr>
      </w:pPr>
      <w:r>
        <w:rPr>
          <w:rFonts w:ascii="Times New Roman" w:cs="Times New Roman" w:eastAsia="Times New Roman" w:hAnsi="Times New Roman"/>
          <w:sz w:val="15"/>
          <w:szCs w:val="15"/>
          <w:color w:val="auto"/>
        </w:rPr>
        <w:t>https://doi.org/10.1016/S1876-3804(23)60440-9</w:t>
      </w:r>
    </w:p>
    <w:p>
      <w:pPr>
        <w:spacing w:after="0" w:line="25" w:lineRule="exact"/>
        <w:rPr>
          <w:sz w:val="24"/>
          <w:szCs w:val="24"/>
          <w:color w:val="auto"/>
        </w:rPr>
      </w:pPr>
    </w:p>
    <w:p>
      <w:pPr>
        <w:spacing w:after="0" w:line="233" w:lineRule="auto"/>
        <w:rPr>
          <w:sz w:val="20"/>
          <w:szCs w:val="20"/>
          <w:color w:val="auto"/>
        </w:rPr>
      </w:pPr>
      <w:r>
        <w:rPr>
          <w:rFonts w:ascii="Times New Roman" w:cs="Times New Roman" w:eastAsia="Times New Roman" w:hAnsi="Times New Roman"/>
          <w:sz w:val="15"/>
          <w:szCs w:val="15"/>
          <w:color w:val="auto"/>
        </w:rPr>
        <w:t>Copyright © 2023, Research Institute of Petroleum Exploration and Development Co., Ltd., CNPC (RIPED). Publishing Services provided by Elsevier B.V. on behalf of KeAi Communications Co., Ltd. This is an open access article under the CC BY-NC-ND license (http://creativecommons.org/licenses/by-nc-nd/4.0/).</w:t>
      </w:r>
    </w:p>
    <w:p>
      <w:pPr>
        <w:sectPr>
          <w:pgSz w:w="11900" w:h="16840" w:orient="portrait"/>
          <w:cols w:equalWidth="0" w:num="1">
            <w:col w:w="9980"/>
          </w:cols>
          <w:pgMar w:left="960" w:top="980" w:right="964" w:bottom="411" w:gutter="0" w:footer="0" w:header="0"/>
          <w:type w:val="continuous"/>
        </w:sectPr>
      </w:pPr>
    </w:p>
    <w:bookmarkStart w:id="1" w:name="page2"/>
    <w:bookmarkEnd w:id="1"/>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LEI Qun et al. / Petroleum Exploration and Development, 2023, 50(4): 944–954</w:t>
      </w:r>
    </w:p>
    <w:p>
      <w:pPr>
        <w:sectPr>
          <w:pgSz w:w="11900" w:h="16840" w:orient="portrait"/>
          <w:cols w:equalWidth="0" w:num="1">
            <w:col w:w="9980"/>
          </w:cols>
          <w:pgMar w:left="960" w:top="1015" w:right="964" w:bottom="412" w:gutter="0" w:footer="0" w:header="0"/>
        </w:sectPr>
      </w:pPr>
    </w:p>
    <w:p>
      <w:pPr>
        <w:spacing w:after="0" w:line="303" w:lineRule="exact"/>
        <w:rPr>
          <w:sz w:val="20"/>
          <w:szCs w:val="20"/>
          <w:color w:val="auto"/>
        </w:rPr>
      </w:pPr>
    </w:p>
    <w:p>
      <w:pPr>
        <w:ind w:firstLine="4"/>
        <w:spacing w:after="0" w:line="231" w:lineRule="auto"/>
        <w:tabs>
          <w:tab w:leader="none" w:pos="372" w:val="left"/>
        </w:tabs>
        <w:numPr>
          <w:ilvl w:val="0"/>
          <w:numId w:val="3"/>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Benchmarking analysis of Sino-US shale oil and gas exploitation technologies</w:t>
      </w:r>
    </w:p>
    <w:p>
      <w:pPr>
        <w:spacing w:after="0" w:line="178" w:lineRule="exact"/>
        <w:rPr>
          <w:sz w:val="20"/>
          <w:szCs w:val="20"/>
          <w:color w:val="auto"/>
        </w:rPr>
      </w:pPr>
    </w:p>
    <w:p>
      <w:pPr>
        <w:jc w:val="both"/>
        <w:ind w:firstLine="193"/>
        <w:spacing w:after="0" w:line="283" w:lineRule="auto"/>
        <w:rPr>
          <w:sz w:val="20"/>
          <w:szCs w:val="20"/>
          <w:color w:val="auto"/>
        </w:rPr>
      </w:pPr>
      <w:r>
        <w:rPr>
          <w:rFonts w:ascii="Times New Roman" w:cs="Times New Roman" w:eastAsia="Times New Roman" w:hAnsi="Times New Roman"/>
          <w:sz w:val="19"/>
          <w:szCs w:val="19"/>
          <w:color w:val="auto"/>
        </w:rPr>
        <w:t>By comparing the technical progress of China and the United States in terms of shale oil and gas development philosophy, reservoir stimulation strategy, fracturing construction parameters, fracturing equipment and ma-terials, oil and gas production technology, and data/ achievements sharing, the following six gaps are pre-sented.</w:t>
      </w:r>
    </w:p>
    <w:p>
      <w:pPr>
        <w:spacing w:after="0" w:line="375" w:lineRule="exact"/>
        <w:rPr>
          <w:sz w:val="20"/>
          <w:szCs w:val="20"/>
          <w:color w:val="auto"/>
        </w:rPr>
      </w:pPr>
    </w:p>
    <w:p>
      <w:pPr>
        <w:spacing w:after="0"/>
        <w:tabs>
          <w:tab w:leader="none" w:pos="420" w:val="left"/>
        </w:tabs>
        <w:rPr>
          <w:sz w:val="20"/>
          <w:szCs w:val="20"/>
          <w:color w:val="auto"/>
        </w:rPr>
      </w:pPr>
      <w:r>
        <w:rPr>
          <w:rFonts w:ascii="Times New Roman" w:cs="Times New Roman" w:eastAsia="Times New Roman" w:hAnsi="Times New Roman"/>
          <w:sz w:val="19"/>
          <w:szCs w:val="19"/>
          <w:b w:val="1"/>
          <w:bCs w:val="1"/>
          <w:color w:val="auto"/>
        </w:rPr>
        <w:t>1.1.</w:t>
        <w:tab/>
        <w:t>Gap in oil and gas development philosophy</w:t>
      </w:r>
    </w:p>
    <w:p>
      <w:pPr>
        <w:spacing w:after="0" w:line="180" w:lineRule="exact"/>
        <w:rPr>
          <w:sz w:val="20"/>
          <w:szCs w:val="20"/>
          <w:color w:val="auto"/>
        </w:rPr>
      </w:pPr>
    </w:p>
    <w:p>
      <w:pPr>
        <w:jc w:val="both"/>
        <w:ind w:firstLine="193"/>
        <w:spacing w:after="0" w:line="282" w:lineRule="auto"/>
        <w:rPr>
          <w:sz w:val="20"/>
          <w:szCs w:val="20"/>
          <w:color w:val="auto"/>
        </w:rPr>
      </w:pPr>
      <w:r>
        <w:rPr>
          <w:rFonts w:ascii="Times New Roman" w:cs="Times New Roman" w:eastAsia="Times New Roman" w:hAnsi="Times New Roman"/>
          <w:sz w:val="19"/>
          <w:szCs w:val="19"/>
          <w:color w:val="auto"/>
        </w:rPr>
        <w:t>The differences between Chinese and American shale oil and gas development philosophy are mainly shown in the following four aspects. (1) The understanding of geo-logical evaluation. The United States has transitioned from the traditional single-layer single-phase adsorption theory to the multi-layer multi-phase competitive ad-sorption theory by finely characterizing shale micro- and nano-pores, specific surface and organic pore contribu-tion, thus resulting in a two- to three-fold increase in resources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[6–7]</w:t>
      </w:r>
      <w:r>
        <w:rPr>
          <w:rFonts w:ascii="Times New Roman" w:cs="Times New Roman" w:eastAsia="Times New Roman" w:hAnsi="Times New Roman"/>
          <w:sz w:val="19"/>
          <w:szCs w:val="19"/>
          <w:color w:val="auto"/>
        </w:rPr>
        <w:t>. In contrast, China has yet to conduct in-depth research on the production capacity contribu-tion of micro- and nano-pore throats. (2) Practice on sublayer potential tapping. The United States has re-peatedly increased the reserve contribution rate of verti-cal sublayers by fracturing interlayers, while China's sublayer fracturing tests need to be strengthened. (3) Engineering technology. The United States has developed a three-dimensional development and multi-layer utiliza-tion model, and ultra-long horizontal well technology, while China is developing high-density completion tech-nologies, such as small well spacing and dense cutting. Their stimulation mechanisms are different. (4) Exploita-tion philosophy. The United States has established a</w:t>
      </w:r>
    </w:p>
    <w:p>
      <w:pPr>
        <w:spacing w:after="0" w:line="20" w:lineRule="exact"/>
        <w:rPr>
          <w:sz w:val="20"/>
          <w:szCs w:val="20"/>
          <w:color w:val="auto"/>
        </w:rPr>
      </w:pPr>
      <w:r>
        <w:rPr>
          <w:sz w:val="20"/>
          <w:szCs w:val="20"/>
          <w:color w:val="auto"/>
        </w:rPr>
        <w:br w:type="column"/>
      </w:r>
    </w:p>
    <w:p>
      <w:pPr>
        <w:spacing w:after="0" w:line="311" w:lineRule="exact"/>
        <w:rPr>
          <w:sz w:val="20"/>
          <w:szCs w:val="20"/>
          <w:color w:val="auto"/>
        </w:rPr>
      </w:pPr>
    </w:p>
    <w:p>
      <w:pPr>
        <w:jc w:val="both"/>
        <w:spacing w:after="0" w:line="285" w:lineRule="auto"/>
        <w:rPr>
          <w:sz w:val="20"/>
          <w:szCs w:val="20"/>
          <w:color w:val="auto"/>
        </w:rPr>
      </w:pPr>
      <w:r>
        <w:rPr>
          <w:rFonts w:ascii="Times New Roman" w:cs="Times New Roman" w:eastAsia="Times New Roman" w:hAnsi="Times New Roman"/>
          <w:sz w:val="19"/>
          <w:szCs w:val="19"/>
          <w:color w:val="auto"/>
        </w:rPr>
        <w:t>concept of full-life cycle energy maintenance, which con-verts formation energy into power, driving oil and gas to flow, so as to enhance oil and gas recovery. In China, however, such philosophy has not been systematically developed, and fine managed-pressure production tech-nology has not been effectively developed yet. There is a large difference in the total amount of shale oil and gas resources between China and the United States. Statistics show that China's shale oil and gas resources are 52% and 66% of those of the United States, respectively. In addi-tion, the difference in shale oil and gas development philosophy between the two countries has led to a sig-nificant gap in the utilization degree of shale oil and gas resources between China and the United States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[8–9]</w:t>
      </w:r>
      <w:r>
        <w:rPr>
          <w:rFonts w:ascii="Times New Roman" w:cs="Times New Roman" w:eastAsia="Times New Roman" w:hAnsi="Times New Roman"/>
          <w:sz w:val="19"/>
          <w:szCs w:val="19"/>
          <w:color w:val="auto"/>
        </w:rPr>
        <w:t>. In recent years, adopting a more mature development con-cept, the United States has significantly increased its geologic resource abundance (about 17.4 times that of China), well-controlled recoverable reserve abundance (about 6.25 times that of China), and single-well pre-dicted ultimate recoverable reserves (about 6.25 times that of China).</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spacing w:after="0"/>
        <w:tabs>
          <w:tab w:leader="none" w:pos="460" w:val="left"/>
        </w:tabs>
        <w:rPr>
          <w:sz w:val="20"/>
          <w:szCs w:val="20"/>
          <w:color w:val="auto"/>
        </w:rPr>
      </w:pPr>
      <w:r>
        <w:rPr>
          <w:rFonts w:ascii="Times New Roman" w:cs="Times New Roman" w:eastAsia="Times New Roman" w:hAnsi="Times New Roman"/>
          <w:sz w:val="19"/>
          <w:szCs w:val="19"/>
          <w:b w:val="1"/>
          <w:bCs w:val="1"/>
          <w:color w:val="auto"/>
        </w:rPr>
        <w:t>1.2.</w:t>
        <w:tab/>
        <w:t>Gap in reservoir stimulation strategy</w:t>
      </w:r>
    </w:p>
    <w:p>
      <w:pPr>
        <w:spacing w:after="0" w:line="184" w:lineRule="exact"/>
        <w:rPr>
          <w:sz w:val="20"/>
          <w:szCs w:val="20"/>
          <w:color w:val="auto"/>
        </w:rPr>
      </w:pPr>
    </w:p>
    <w:p>
      <w:pPr>
        <w:jc w:val="both"/>
        <w:ind w:firstLine="193"/>
        <w:spacing w:after="0" w:line="285" w:lineRule="auto"/>
        <w:rPr>
          <w:sz w:val="20"/>
          <w:szCs w:val="20"/>
          <w:color w:val="auto"/>
        </w:rPr>
      </w:pPr>
      <w:r>
        <w:rPr>
          <w:rFonts w:ascii="Times New Roman" w:cs="Times New Roman" w:eastAsia="Times New Roman" w:hAnsi="Times New Roman"/>
          <w:sz w:val="19"/>
          <w:szCs w:val="19"/>
          <w:color w:val="auto"/>
        </w:rPr>
        <w:t>The geological characteristics of shale oil and gas res-ervoirs in China and the United States differ greatly (Ta-ble 1 and Table 2). Accordingly, the stimulation counter-measures are obviously different as well, mainly in terms of the length of horizontal well sections for shale oil and gas stimulation, the number of three-dimensional stimu-lation layers and the stimulation methods.</w:t>
      </w:r>
    </w:p>
    <w:p>
      <w:pPr>
        <w:spacing w:after="0" w:line="23" w:lineRule="exact"/>
        <w:rPr>
          <w:sz w:val="20"/>
          <w:szCs w:val="20"/>
          <w:color w:val="auto"/>
        </w:rPr>
      </w:pPr>
    </w:p>
    <w:p>
      <w:pPr>
        <w:jc w:val="both"/>
        <w:ind w:firstLine="193"/>
        <w:spacing w:after="0" w:line="283" w:lineRule="auto"/>
        <w:rPr>
          <w:sz w:val="20"/>
          <w:szCs w:val="20"/>
          <w:color w:val="auto"/>
        </w:rPr>
      </w:pPr>
      <w:r>
        <w:rPr>
          <w:rFonts w:ascii="Times New Roman" w:cs="Times New Roman" w:eastAsia="Times New Roman" w:hAnsi="Times New Roman"/>
          <w:sz w:val="19"/>
          <w:szCs w:val="19"/>
          <w:color w:val="auto"/>
        </w:rPr>
        <w:t>For shale oil, the U.S. shale oil reservoirs are mostly marine deposits with high pressure coefficients, con-tinuous distribution in wide range and thick single layers, so multi-layer three-dimensional fracturing has become a</w:t>
      </w:r>
    </w:p>
    <w:p>
      <w:pPr>
        <w:spacing w:after="0" w:line="200" w:lineRule="exact"/>
        <w:rPr>
          <w:sz w:val="20"/>
          <w:szCs w:val="20"/>
          <w:color w:val="auto"/>
        </w:rPr>
      </w:pPr>
    </w:p>
    <w:p>
      <w:pPr>
        <w:sectPr>
          <w:pgSz w:w="11900" w:h="16840" w:orient="portrait"/>
          <w:cols w:equalWidth="0" w:num="2">
            <w:col w:w="4760" w:space="460"/>
            <w:col w:w="4760"/>
          </w:cols>
          <w:pgMar w:left="960" w:top="1015" w:right="964" w:bottom="412" w:gutter="0" w:footer="0" w:header="0"/>
          <w:type w:val="continuous"/>
        </w:sectPr>
      </w:pPr>
    </w:p>
    <w:p>
      <w:pPr>
        <w:spacing w:after="0" w:line="11" w:lineRule="exact"/>
        <w:rPr>
          <w:sz w:val="20"/>
          <w:szCs w:val="20"/>
          <w:color w:val="auto"/>
        </w:rPr>
      </w:pPr>
    </w:p>
    <w:p>
      <w:pPr>
        <w:spacing w:after="0"/>
        <w:tabs>
          <w:tab w:leader="none" w:pos="780" w:val="left"/>
        </w:tabs>
        <w:rPr>
          <w:sz w:val="20"/>
          <w:szCs w:val="20"/>
          <w:color w:val="auto"/>
        </w:rPr>
      </w:pPr>
      <w:r>
        <w:rPr>
          <w:rFonts w:ascii="Arial" w:cs="Arial" w:eastAsia="Arial" w:hAnsi="Arial"/>
          <w:sz w:val="17"/>
          <w:szCs w:val="17"/>
          <w:b w:val="1"/>
          <w:bCs w:val="1"/>
          <w:color w:val="auto"/>
        </w:rPr>
        <w:t>Table 1.</w:t>
        <w:tab/>
        <w:t>Comparison of geological parameters of typical shale oil blocks between China and the United States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52705</wp:posOffset>
                </wp:positionV>
                <wp:extent cx="633603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603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15pt" to="498.75pt,4.15pt" o:allowincell="f" strokecolor="#000000" strokeweight="0.9599pt"/>
            </w:pict>
          </mc:Fallback>
        </mc:AlternateContent>
      </w:r>
    </w:p>
    <w:p>
      <w:pPr>
        <w:sectPr>
          <w:pgSz w:w="11900" w:h="16840" w:orient="portrait"/>
          <w:cols w:equalWidth="0" w:num="1">
            <w:col w:w="9980"/>
          </w:cols>
          <w:pgMar w:left="960" w:top="1015" w:right="964" w:bottom="412" w:gutter="0" w:footer="0" w:header="0"/>
          <w:type w:val="continuous"/>
        </w:sectPr>
      </w:pPr>
    </w:p>
    <w:p>
      <w:pPr>
        <w:spacing w:after="0" w:line="247" w:lineRule="exact"/>
        <w:rPr>
          <w:sz w:val="20"/>
          <w:szCs w:val="20"/>
          <w:color w:val="auto"/>
        </w:rPr>
      </w:pPr>
    </w:p>
    <w:tbl>
      <w:tblPr>
        <w:tblLayout w:type="fixed"/>
        <w:tblInd w:w="3" w:type="dxa"/>
        <w:tblCellMar>
          <w:top w:w="0" w:type="dxa"/>
          <w:left w:w="0" w:type="dxa"/>
          <w:bottom w:w="0" w:type="dxa"/>
          <w:right w:w="0" w:type="dxa"/>
        </w:tblCellMar>
      </w:tblPr>
      <w:tr>
        <w:trPr>
          <w:trHeight w:val="1460"/>
        </w:trPr>
        <w:tc>
          <w:tcPr>
            <w:tcW w:w="195" w:type="dxa"/>
            <w:vAlign w:val="bottom"/>
            <w:textDirection w:val="btLr"/>
          </w:tcPr>
          <w:p>
            <w:pPr>
              <w:spacing w:after="0"/>
              <w:rPr>
                <w:sz w:val="20"/>
                <w:szCs w:val="20"/>
                <w:color w:val="auto"/>
              </w:rPr>
            </w:pPr>
            <w:r>
              <w:rPr>
                <w:rFonts w:ascii="Arial" w:cs="Arial" w:eastAsia="Arial" w:hAnsi="Arial"/>
                <w:sz w:val="17"/>
                <w:szCs w:val="17"/>
                <w:color w:val="auto"/>
              </w:rPr>
              <w:t>Shale oil      Typ</w:t>
            </w:r>
          </w:p>
        </w:tc>
      </w:tr>
    </w:tbl>
    <w:p>
      <w:pPr>
        <w:spacing w:after="0" w:line="20" w:lineRule="exact"/>
        <w:rPr>
          <w:sz w:val="20"/>
          <w:szCs w:val="20"/>
          <w:color w:val="auto"/>
        </w:rPr>
      </w:pPr>
      <w:r>
        <w:rPr>
          <w:sz w:val="20"/>
          <w:szCs w:val="20"/>
          <w:color w:val="auto"/>
        </w:rPr>
        <w:br w:type="column"/>
      </w:r>
    </w:p>
    <w:p>
      <w:pPr>
        <w:spacing w:after="0" w:line="55"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96"/>
        </w:trPr>
        <w:tc>
          <w:tcPr>
            <w:tcW w:w="680" w:type="dxa"/>
            <w:vAlign w:val="bottom"/>
            <w:vMerge w:val="restart"/>
          </w:tcPr>
          <w:p>
            <w:pPr>
              <w:jc w:val="center"/>
              <w:spacing w:after="0"/>
              <w:rPr>
                <w:sz w:val="20"/>
                <w:szCs w:val="20"/>
                <w:color w:val="auto"/>
              </w:rPr>
            </w:pPr>
            <w:r>
              <w:rPr>
                <w:rFonts w:ascii="Arial" w:cs="Arial" w:eastAsia="Arial" w:hAnsi="Arial"/>
                <w:sz w:val="17"/>
                <w:szCs w:val="17"/>
                <w:color w:val="auto"/>
              </w:rPr>
              <w:t>Block/</w:t>
            </w:r>
          </w:p>
        </w:tc>
        <w:tc>
          <w:tcPr>
            <w:tcW w:w="1140" w:type="dxa"/>
            <w:vAlign w:val="bottom"/>
            <w:vMerge w:val="restart"/>
          </w:tcPr>
          <w:p>
            <w:pPr>
              <w:jc w:val="center"/>
              <w:spacing w:after="0"/>
              <w:rPr>
                <w:sz w:val="20"/>
                <w:szCs w:val="20"/>
                <w:color w:val="auto"/>
              </w:rPr>
            </w:pPr>
            <w:r>
              <w:rPr>
                <w:rFonts w:ascii="Arial" w:cs="Arial" w:eastAsia="Arial" w:hAnsi="Arial"/>
                <w:sz w:val="17"/>
                <w:szCs w:val="17"/>
                <w:color w:val="auto"/>
                <w:w w:val="99"/>
              </w:rPr>
              <w:t>Hydrocarbon-</w:t>
            </w:r>
          </w:p>
        </w:tc>
        <w:tc>
          <w:tcPr>
            <w:tcW w:w="1140" w:type="dxa"/>
            <w:vAlign w:val="bottom"/>
            <w:vMerge w:val="restart"/>
          </w:tcPr>
          <w:p>
            <w:pPr>
              <w:jc w:val="center"/>
              <w:spacing w:after="0"/>
              <w:rPr>
                <w:sz w:val="20"/>
                <w:szCs w:val="20"/>
                <w:color w:val="auto"/>
              </w:rPr>
            </w:pPr>
            <w:r>
              <w:rPr>
                <w:rFonts w:ascii="Arial" w:cs="Arial" w:eastAsia="Arial" w:hAnsi="Arial"/>
                <w:sz w:val="17"/>
                <w:szCs w:val="17"/>
                <w:color w:val="auto"/>
              </w:rPr>
              <w:t>Stratigraphic</w:t>
            </w:r>
          </w:p>
        </w:tc>
        <w:tc>
          <w:tcPr>
            <w:tcW w:w="1020" w:type="dxa"/>
            <w:vAlign w:val="bottom"/>
            <w:vMerge w:val="restart"/>
          </w:tcPr>
          <w:p>
            <w:pPr>
              <w:jc w:val="center"/>
              <w:spacing w:after="0"/>
              <w:rPr>
                <w:sz w:val="20"/>
                <w:szCs w:val="20"/>
                <w:color w:val="auto"/>
              </w:rPr>
            </w:pPr>
            <w:r>
              <w:rPr>
                <w:rFonts w:ascii="Arial" w:cs="Arial" w:eastAsia="Arial" w:hAnsi="Arial"/>
                <w:sz w:val="17"/>
                <w:szCs w:val="17"/>
                <w:color w:val="auto"/>
                <w:w w:val="98"/>
              </w:rPr>
              <w:t>Sedimentary</w:t>
            </w:r>
          </w:p>
        </w:tc>
        <w:tc>
          <w:tcPr>
            <w:tcW w:w="920" w:type="dxa"/>
            <w:vAlign w:val="bottom"/>
            <w:vMerge w:val="restart"/>
          </w:tcPr>
          <w:p>
            <w:pPr>
              <w:jc w:val="center"/>
              <w:spacing w:after="0"/>
              <w:rPr>
                <w:sz w:val="20"/>
                <w:szCs w:val="20"/>
                <w:color w:val="auto"/>
              </w:rPr>
            </w:pPr>
            <w:r>
              <w:rPr>
                <w:rFonts w:ascii="Arial" w:cs="Arial" w:eastAsia="Arial" w:hAnsi="Arial"/>
                <w:sz w:val="17"/>
                <w:szCs w:val="17"/>
                <w:color w:val="auto"/>
              </w:rPr>
              <w:t>Burial</w:t>
            </w:r>
          </w:p>
        </w:tc>
        <w:tc>
          <w:tcPr>
            <w:tcW w:w="880" w:type="dxa"/>
            <w:vAlign w:val="bottom"/>
          </w:tcPr>
          <w:p>
            <w:pPr>
              <w:jc w:val="center"/>
              <w:spacing w:after="0"/>
              <w:rPr>
                <w:sz w:val="20"/>
                <w:szCs w:val="20"/>
                <w:color w:val="auto"/>
              </w:rPr>
            </w:pPr>
            <w:r>
              <w:rPr>
                <w:rFonts w:ascii="Arial" w:cs="Arial" w:eastAsia="Arial" w:hAnsi="Arial"/>
                <w:sz w:val="17"/>
                <w:szCs w:val="17"/>
                <w:color w:val="auto"/>
                <w:w w:val="98"/>
              </w:rPr>
              <w:t>Single-</w:t>
            </w:r>
          </w:p>
        </w:tc>
        <w:tc>
          <w:tcPr>
            <w:tcW w:w="540" w:type="dxa"/>
            <w:vAlign w:val="bottom"/>
            <w:vMerge w:val="restart"/>
          </w:tcPr>
          <w:p>
            <w:pPr>
              <w:jc w:val="center"/>
              <w:spacing w:after="0"/>
              <w:rPr>
                <w:sz w:val="20"/>
                <w:szCs w:val="20"/>
                <w:color w:val="auto"/>
              </w:rPr>
            </w:pPr>
            <w:r>
              <w:rPr>
                <w:rFonts w:ascii="Arial" w:cs="Arial" w:eastAsia="Arial" w:hAnsi="Arial"/>
                <w:sz w:val="17"/>
                <w:szCs w:val="17"/>
                <w:color w:val="auto"/>
              </w:rPr>
              <w:t>No. of</w:t>
            </w:r>
          </w:p>
        </w:tc>
        <w:tc>
          <w:tcPr>
            <w:tcW w:w="520" w:type="dxa"/>
            <w:vAlign w:val="bottom"/>
            <w:vMerge w:val="restart"/>
          </w:tcPr>
          <w:p>
            <w:pPr>
              <w:ind w:left="60"/>
              <w:spacing w:after="0"/>
              <w:rPr>
                <w:sz w:val="20"/>
                <w:szCs w:val="20"/>
                <w:color w:val="auto"/>
              </w:rPr>
            </w:pPr>
            <w:r>
              <w:rPr>
                <w:rFonts w:ascii="Arial" w:cs="Arial" w:eastAsia="Arial" w:hAnsi="Arial"/>
                <w:sz w:val="17"/>
                <w:szCs w:val="17"/>
                <w:color w:val="auto"/>
              </w:rPr>
              <w:t>TOC/</w:t>
            </w:r>
          </w:p>
        </w:tc>
        <w:tc>
          <w:tcPr>
            <w:tcW w:w="680" w:type="dxa"/>
            <w:vAlign w:val="bottom"/>
            <w:vMerge w:val="restart"/>
          </w:tcPr>
          <w:p>
            <w:pPr>
              <w:jc w:val="center"/>
              <w:spacing w:after="0"/>
              <w:rPr>
                <w:sz w:val="20"/>
                <w:szCs w:val="20"/>
                <w:color w:val="auto"/>
              </w:rPr>
            </w:pPr>
            <w:r>
              <w:rPr>
                <w:rFonts w:ascii="Arial" w:cs="Arial" w:eastAsia="Arial" w:hAnsi="Arial"/>
                <w:sz w:val="17"/>
                <w:szCs w:val="17"/>
                <w:color w:val="auto"/>
                <w:w w:val="99"/>
              </w:rPr>
              <w:t>R</w:t>
            </w:r>
            <w:r>
              <w:rPr>
                <w:rFonts w:ascii="Arial" w:cs="Arial" w:eastAsia="Arial" w:hAnsi="Arial"/>
                <w:sz w:val="11"/>
                <w:szCs w:val="11"/>
                <w:color w:val="auto"/>
                <w:w w:val="99"/>
              </w:rPr>
              <w:t>o</w:t>
            </w:r>
            <w:r>
              <w:rPr>
                <w:rFonts w:ascii="Arial" w:cs="Arial" w:eastAsia="Arial" w:hAnsi="Arial"/>
                <w:sz w:val="17"/>
                <w:szCs w:val="17"/>
                <w:color w:val="auto"/>
                <w:w w:val="99"/>
              </w:rPr>
              <w:t>/%</w:t>
            </w:r>
          </w:p>
        </w:tc>
        <w:tc>
          <w:tcPr>
            <w:tcW w:w="580" w:type="dxa"/>
            <w:vAlign w:val="bottom"/>
            <w:vMerge w:val="restart"/>
          </w:tcPr>
          <w:p>
            <w:pPr>
              <w:jc w:val="center"/>
              <w:spacing w:after="0"/>
              <w:rPr>
                <w:sz w:val="20"/>
                <w:szCs w:val="20"/>
                <w:color w:val="auto"/>
              </w:rPr>
            </w:pPr>
            <w:r>
              <w:rPr>
                <w:rFonts w:ascii="Arial" w:cs="Arial" w:eastAsia="Arial" w:hAnsi="Arial"/>
                <w:sz w:val="17"/>
                <w:szCs w:val="17"/>
                <w:color w:val="auto"/>
                <w:w w:val="99"/>
              </w:rPr>
              <w:t>Poros-</w:t>
            </w:r>
          </w:p>
        </w:tc>
        <w:tc>
          <w:tcPr>
            <w:tcW w:w="840" w:type="dxa"/>
            <w:vAlign w:val="bottom"/>
            <w:vMerge w:val="restart"/>
          </w:tcPr>
          <w:p>
            <w:pPr>
              <w:jc w:val="center"/>
              <w:spacing w:after="0"/>
              <w:rPr>
                <w:sz w:val="20"/>
                <w:szCs w:val="20"/>
                <w:color w:val="auto"/>
              </w:rPr>
            </w:pPr>
            <w:r>
              <w:rPr>
                <w:rFonts w:ascii="Arial" w:cs="Arial" w:eastAsia="Arial" w:hAnsi="Arial"/>
                <w:sz w:val="17"/>
                <w:szCs w:val="17"/>
                <w:color w:val="auto"/>
                <w:w w:val="99"/>
              </w:rPr>
              <w:t>Pressure</w:t>
            </w:r>
          </w:p>
        </w:tc>
        <w:tc>
          <w:tcPr>
            <w:tcW w:w="740" w:type="dxa"/>
            <w:vAlign w:val="bottom"/>
          </w:tcPr>
          <w:p>
            <w:pPr>
              <w:jc w:val="center"/>
              <w:spacing w:after="0"/>
              <w:rPr>
                <w:sz w:val="20"/>
                <w:szCs w:val="20"/>
                <w:color w:val="auto"/>
              </w:rPr>
            </w:pPr>
            <w:r>
              <w:rPr>
                <w:rFonts w:ascii="Arial" w:cs="Arial" w:eastAsia="Arial" w:hAnsi="Arial"/>
                <w:sz w:val="17"/>
                <w:szCs w:val="17"/>
                <w:color w:val="auto"/>
                <w:w w:val="99"/>
              </w:rPr>
              <w:t>Crude oil</w:t>
            </w:r>
          </w:p>
        </w:tc>
        <w:tc>
          <w:tcPr>
            <w:tcW w:w="0" w:type="dxa"/>
            <w:vAlign w:val="bottom"/>
          </w:tcPr>
          <w:p>
            <w:pPr>
              <w:spacing w:after="0"/>
              <w:rPr>
                <w:sz w:val="1"/>
                <w:szCs w:val="1"/>
                <w:color w:val="auto"/>
              </w:rPr>
            </w:pPr>
          </w:p>
        </w:tc>
      </w:tr>
      <w:tr>
        <w:trPr>
          <w:trHeight w:val="176"/>
        </w:trPr>
        <w:tc>
          <w:tcPr>
            <w:tcW w:w="680" w:type="dxa"/>
            <w:vAlign w:val="bottom"/>
            <w:vMerge w:val="continue"/>
          </w:tcPr>
          <w:p>
            <w:pPr>
              <w:spacing w:after="0"/>
              <w:rPr>
                <w:sz w:val="15"/>
                <w:szCs w:val="15"/>
                <w:color w:val="auto"/>
              </w:rPr>
            </w:pPr>
          </w:p>
        </w:tc>
        <w:tc>
          <w:tcPr>
            <w:tcW w:w="1140" w:type="dxa"/>
            <w:vAlign w:val="bottom"/>
            <w:vMerge w:val="continue"/>
          </w:tcPr>
          <w:p>
            <w:pPr>
              <w:spacing w:after="0"/>
              <w:rPr>
                <w:sz w:val="15"/>
                <w:szCs w:val="15"/>
                <w:color w:val="auto"/>
              </w:rPr>
            </w:pPr>
          </w:p>
        </w:tc>
        <w:tc>
          <w:tcPr>
            <w:tcW w:w="1140" w:type="dxa"/>
            <w:vAlign w:val="bottom"/>
            <w:vMerge w:val="continue"/>
          </w:tcPr>
          <w:p>
            <w:pPr>
              <w:spacing w:after="0"/>
              <w:rPr>
                <w:sz w:val="15"/>
                <w:szCs w:val="15"/>
                <w:color w:val="auto"/>
              </w:rPr>
            </w:pPr>
          </w:p>
        </w:tc>
        <w:tc>
          <w:tcPr>
            <w:tcW w:w="1020" w:type="dxa"/>
            <w:vAlign w:val="bottom"/>
            <w:vMerge w:val="continue"/>
          </w:tcPr>
          <w:p>
            <w:pPr>
              <w:spacing w:after="0"/>
              <w:rPr>
                <w:sz w:val="15"/>
                <w:szCs w:val="15"/>
                <w:color w:val="auto"/>
              </w:rPr>
            </w:pPr>
          </w:p>
        </w:tc>
        <w:tc>
          <w:tcPr>
            <w:tcW w:w="920" w:type="dxa"/>
            <w:vAlign w:val="bottom"/>
            <w:vMerge w:val="continue"/>
          </w:tcPr>
          <w:p>
            <w:pPr>
              <w:spacing w:after="0"/>
              <w:rPr>
                <w:sz w:val="15"/>
                <w:szCs w:val="15"/>
                <w:color w:val="auto"/>
              </w:rPr>
            </w:pPr>
          </w:p>
        </w:tc>
        <w:tc>
          <w:tcPr>
            <w:tcW w:w="880" w:type="dxa"/>
            <w:vAlign w:val="bottom"/>
          </w:tcPr>
          <w:p>
            <w:pPr>
              <w:jc w:val="center"/>
              <w:spacing w:after="0" w:line="176" w:lineRule="exact"/>
              <w:rPr>
                <w:sz w:val="20"/>
                <w:szCs w:val="20"/>
                <w:color w:val="auto"/>
              </w:rPr>
            </w:pPr>
            <w:r>
              <w:rPr>
                <w:rFonts w:ascii="Arial" w:cs="Arial" w:eastAsia="Arial" w:hAnsi="Arial"/>
                <w:sz w:val="17"/>
                <w:szCs w:val="17"/>
                <w:color w:val="auto"/>
                <w:w w:val="99"/>
              </w:rPr>
              <w:t>layer thick-</w:t>
            </w:r>
          </w:p>
        </w:tc>
        <w:tc>
          <w:tcPr>
            <w:tcW w:w="540" w:type="dxa"/>
            <w:vAlign w:val="bottom"/>
            <w:vMerge w:val="continue"/>
          </w:tcPr>
          <w:p>
            <w:pPr>
              <w:spacing w:after="0"/>
              <w:rPr>
                <w:sz w:val="15"/>
                <w:szCs w:val="15"/>
                <w:color w:val="auto"/>
              </w:rPr>
            </w:pPr>
          </w:p>
        </w:tc>
        <w:tc>
          <w:tcPr>
            <w:tcW w:w="520" w:type="dxa"/>
            <w:vAlign w:val="bottom"/>
            <w:vMerge w:val="continue"/>
          </w:tcPr>
          <w:p>
            <w:pPr>
              <w:spacing w:after="0"/>
              <w:rPr>
                <w:sz w:val="15"/>
                <w:szCs w:val="15"/>
                <w:color w:val="auto"/>
              </w:rPr>
            </w:pPr>
          </w:p>
        </w:tc>
        <w:tc>
          <w:tcPr>
            <w:tcW w:w="680" w:type="dxa"/>
            <w:vAlign w:val="bottom"/>
            <w:vMerge w:val="continue"/>
          </w:tcPr>
          <w:p>
            <w:pPr>
              <w:spacing w:after="0"/>
              <w:rPr>
                <w:sz w:val="15"/>
                <w:szCs w:val="15"/>
                <w:color w:val="auto"/>
              </w:rPr>
            </w:pPr>
          </w:p>
        </w:tc>
        <w:tc>
          <w:tcPr>
            <w:tcW w:w="580" w:type="dxa"/>
            <w:vAlign w:val="bottom"/>
            <w:vMerge w:val="continue"/>
          </w:tcPr>
          <w:p>
            <w:pPr>
              <w:spacing w:after="0"/>
              <w:rPr>
                <w:sz w:val="15"/>
                <w:szCs w:val="15"/>
                <w:color w:val="auto"/>
              </w:rPr>
            </w:pPr>
          </w:p>
        </w:tc>
        <w:tc>
          <w:tcPr>
            <w:tcW w:w="840" w:type="dxa"/>
            <w:vAlign w:val="bottom"/>
            <w:vMerge w:val="continue"/>
          </w:tcPr>
          <w:p>
            <w:pPr>
              <w:spacing w:after="0"/>
              <w:rPr>
                <w:sz w:val="15"/>
                <w:szCs w:val="15"/>
                <w:color w:val="auto"/>
              </w:rPr>
            </w:pPr>
          </w:p>
        </w:tc>
        <w:tc>
          <w:tcPr>
            <w:tcW w:w="740" w:type="dxa"/>
            <w:vAlign w:val="bottom"/>
          </w:tcPr>
          <w:p>
            <w:pPr>
              <w:jc w:val="center"/>
              <w:spacing w:after="0" w:line="176" w:lineRule="exact"/>
              <w:rPr>
                <w:sz w:val="20"/>
                <w:szCs w:val="20"/>
                <w:color w:val="auto"/>
              </w:rPr>
            </w:pPr>
            <w:r>
              <w:rPr>
                <w:rFonts w:ascii="Arial" w:cs="Arial" w:eastAsia="Arial" w:hAnsi="Arial"/>
                <w:sz w:val="17"/>
                <w:szCs w:val="17"/>
                <w:color w:val="auto"/>
                <w:w w:val="98"/>
              </w:rPr>
              <w:t>viscosity/</w:t>
            </w:r>
          </w:p>
        </w:tc>
        <w:tc>
          <w:tcPr>
            <w:tcW w:w="0" w:type="dxa"/>
            <w:vAlign w:val="bottom"/>
          </w:tcPr>
          <w:p>
            <w:pPr>
              <w:spacing w:after="0"/>
              <w:rPr>
                <w:sz w:val="1"/>
                <w:szCs w:val="1"/>
                <w:color w:val="auto"/>
              </w:rPr>
            </w:pPr>
          </w:p>
        </w:tc>
      </w:tr>
      <w:tr>
        <w:trPr>
          <w:trHeight w:val="196"/>
        </w:trPr>
        <w:tc>
          <w:tcPr>
            <w:tcW w:w="680" w:type="dxa"/>
            <w:vAlign w:val="bottom"/>
          </w:tcPr>
          <w:p>
            <w:pPr>
              <w:jc w:val="center"/>
              <w:spacing w:after="0"/>
              <w:rPr>
                <w:sz w:val="20"/>
                <w:szCs w:val="20"/>
                <w:color w:val="auto"/>
              </w:rPr>
            </w:pPr>
            <w:r>
              <w:rPr>
                <w:rFonts w:ascii="Arial" w:cs="Arial" w:eastAsia="Arial" w:hAnsi="Arial"/>
                <w:sz w:val="17"/>
                <w:szCs w:val="17"/>
                <w:color w:val="auto"/>
              </w:rPr>
              <w:t>Basin</w:t>
            </w:r>
          </w:p>
        </w:tc>
        <w:tc>
          <w:tcPr>
            <w:tcW w:w="1140" w:type="dxa"/>
            <w:vAlign w:val="bottom"/>
          </w:tcPr>
          <w:p>
            <w:pPr>
              <w:jc w:val="center"/>
              <w:spacing w:after="0"/>
              <w:rPr>
                <w:sz w:val="20"/>
                <w:szCs w:val="20"/>
                <w:color w:val="auto"/>
              </w:rPr>
            </w:pPr>
            <w:r>
              <w:rPr>
                <w:rFonts w:ascii="Arial" w:cs="Arial" w:eastAsia="Arial" w:hAnsi="Arial"/>
                <w:sz w:val="17"/>
                <w:szCs w:val="17"/>
                <w:color w:val="auto"/>
                <w:w w:val="99"/>
              </w:rPr>
              <w:t>bearing layer</w:t>
            </w:r>
          </w:p>
        </w:tc>
        <w:tc>
          <w:tcPr>
            <w:tcW w:w="1140" w:type="dxa"/>
            <w:vAlign w:val="bottom"/>
          </w:tcPr>
          <w:p>
            <w:pPr>
              <w:jc w:val="center"/>
              <w:spacing w:after="0"/>
              <w:rPr>
                <w:sz w:val="20"/>
                <w:szCs w:val="20"/>
                <w:color w:val="auto"/>
              </w:rPr>
            </w:pPr>
            <w:r>
              <w:rPr>
                <w:rFonts w:ascii="Arial" w:cs="Arial" w:eastAsia="Arial" w:hAnsi="Arial"/>
                <w:sz w:val="17"/>
                <w:szCs w:val="17"/>
                <w:color w:val="auto"/>
                <w:w w:val="98"/>
              </w:rPr>
              <w:t>age</w:t>
            </w:r>
          </w:p>
        </w:tc>
        <w:tc>
          <w:tcPr>
            <w:tcW w:w="1020" w:type="dxa"/>
            <w:vAlign w:val="bottom"/>
          </w:tcPr>
          <w:p>
            <w:pPr>
              <w:jc w:val="center"/>
              <w:spacing w:after="0"/>
              <w:rPr>
                <w:sz w:val="20"/>
                <w:szCs w:val="20"/>
                <w:color w:val="auto"/>
              </w:rPr>
            </w:pPr>
            <w:r>
              <w:rPr>
                <w:rFonts w:ascii="Arial" w:cs="Arial" w:eastAsia="Arial" w:hAnsi="Arial"/>
                <w:sz w:val="17"/>
                <w:szCs w:val="17"/>
                <w:color w:val="auto"/>
              </w:rPr>
              <w:t>environment</w:t>
            </w:r>
          </w:p>
        </w:tc>
        <w:tc>
          <w:tcPr>
            <w:tcW w:w="920" w:type="dxa"/>
            <w:vAlign w:val="bottom"/>
          </w:tcPr>
          <w:p>
            <w:pPr>
              <w:jc w:val="center"/>
              <w:spacing w:after="0"/>
              <w:rPr>
                <w:sz w:val="20"/>
                <w:szCs w:val="20"/>
                <w:color w:val="auto"/>
              </w:rPr>
            </w:pPr>
            <w:r>
              <w:rPr>
                <w:rFonts w:ascii="Arial" w:cs="Arial" w:eastAsia="Arial" w:hAnsi="Arial"/>
                <w:sz w:val="17"/>
                <w:szCs w:val="17"/>
                <w:color w:val="auto"/>
                <w:w w:val="97"/>
              </w:rPr>
              <w:t>depth/m</w:t>
            </w:r>
          </w:p>
        </w:tc>
        <w:tc>
          <w:tcPr>
            <w:tcW w:w="880" w:type="dxa"/>
            <w:vAlign w:val="bottom"/>
            <w:vMerge w:val="restart"/>
          </w:tcPr>
          <w:p>
            <w:pPr>
              <w:jc w:val="center"/>
              <w:spacing w:after="0"/>
              <w:rPr>
                <w:sz w:val="20"/>
                <w:szCs w:val="20"/>
                <w:color w:val="auto"/>
              </w:rPr>
            </w:pPr>
            <w:r>
              <w:rPr>
                <w:rFonts w:ascii="Arial" w:cs="Arial" w:eastAsia="Arial" w:hAnsi="Arial"/>
                <w:sz w:val="17"/>
                <w:szCs w:val="17"/>
                <w:color w:val="auto"/>
              </w:rPr>
              <w:t>ness/m</w:t>
            </w:r>
          </w:p>
        </w:tc>
        <w:tc>
          <w:tcPr>
            <w:tcW w:w="540" w:type="dxa"/>
            <w:vAlign w:val="bottom"/>
          </w:tcPr>
          <w:p>
            <w:pPr>
              <w:jc w:val="center"/>
              <w:spacing w:after="0"/>
              <w:rPr>
                <w:sz w:val="20"/>
                <w:szCs w:val="20"/>
                <w:color w:val="auto"/>
              </w:rPr>
            </w:pPr>
            <w:r>
              <w:rPr>
                <w:rFonts w:ascii="Arial" w:cs="Arial" w:eastAsia="Arial" w:hAnsi="Arial"/>
                <w:sz w:val="17"/>
                <w:szCs w:val="17"/>
                <w:color w:val="auto"/>
              </w:rPr>
              <w:t>layers</w:t>
            </w:r>
          </w:p>
        </w:tc>
        <w:tc>
          <w:tcPr>
            <w:tcW w:w="520" w:type="dxa"/>
            <w:vAlign w:val="bottom"/>
          </w:tcPr>
          <w:p>
            <w:pPr>
              <w:jc w:val="center"/>
              <w:spacing w:after="0"/>
              <w:rPr>
                <w:sz w:val="20"/>
                <w:szCs w:val="20"/>
                <w:color w:val="auto"/>
              </w:rPr>
            </w:pPr>
            <w:r>
              <w:rPr>
                <w:rFonts w:ascii="Arial" w:cs="Arial" w:eastAsia="Arial" w:hAnsi="Arial"/>
                <w:sz w:val="17"/>
                <w:szCs w:val="17"/>
                <w:color w:val="auto"/>
              </w:rPr>
              <w:t>%</w:t>
            </w:r>
          </w:p>
        </w:tc>
        <w:tc>
          <w:tcPr>
            <w:tcW w:w="680" w:type="dxa"/>
            <w:vAlign w:val="bottom"/>
          </w:tcPr>
          <w:p>
            <w:pPr>
              <w:spacing w:after="0"/>
              <w:rPr>
                <w:sz w:val="17"/>
                <w:szCs w:val="17"/>
                <w:color w:val="auto"/>
              </w:rPr>
            </w:pPr>
          </w:p>
        </w:tc>
        <w:tc>
          <w:tcPr>
            <w:tcW w:w="580" w:type="dxa"/>
            <w:vAlign w:val="bottom"/>
          </w:tcPr>
          <w:p>
            <w:pPr>
              <w:jc w:val="center"/>
              <w:spacing w:after="0"/>
              <w:rPr>
                <w:sz w:val="20"/>
                <w:szCs w:val="20"/>
                <w:color w:val="auto"/>
              </w:rPr>
            </w:pPr>
            <w:r>
              <w:rPr>
                <w:rFonts w:ascii="Arial" w:cs="Arial" w:eastAsia="Arial" w:hAnsi="Arial"/>
                <w:sz w:val="17"/>
                <w:szCs w:val="17"/>
                <w:color w:val="auto"/>
                <w:w w:val="97"/>
              </w:rPr>
              <w:t>ity/%</w:t>
            </w:r>
          </w:p>
        </w:tc>
        <w:tc>
          <w:tcPr>
            <w:tcW w:w="840" w:type="dxa"/>
            <w:vAlign w:val="bottom"/>
          </w:tcPr>
          <w:p>
            <w:pPr>
              <w:jc w:val="center"/>
              <w:spacing w:after="0"/>
              <w:rPr>
                <w:sz w:val="20"/>
                <w:szCs w:val="20"/>
                <w:color w:val="auto"/>
              </w:rPr>
            </w:pPr>
            <w:r>
              <w:rPr>
                <w:rFonts w:ascii="Arial" w:cs="Arial" w:eastAsia="Arial" w:hAnsi="Arial"/>
                <w:sz w:val="17"/>
                <w:szCs w:val="17"/>
                <w:color w:val="auto"/>
                <w:w w:val="99"/>
              </w:rPr>
              <w:t>coefficient</w:t>
            </w:r>
          </w:p>
        </w:tc>
        <w:tc>
          <w:tcPr>
            <w:tcW w:w="740" w:type="dxa"/>
            <w:vAlign w:val="bottom"/>
            <w:vMerge w:val="restart"/>
          </w:tcPr>
          <w:p>
            <w:pPr>
              <w:jc w:val="center"/>
              <w:spacing w:after="0"/>
              <w:rPr>
                <w:sz w:val="20"/>
                <w:szCs w:val="20"/>
                <w:color w:val="auto"/>
              </w:rPr>
            </w:pPr>
            <w:r>
              <w:rPr>
                <w:rFonts w:ascii="Arial" w:cs="Arial" w:eastAsia="Arial" w:hAnsi="Arial"/>
                <w:sz w:val="17"/>
                <w:szCs w:val="17"/>
                <w:color w:val="auto"/>
              </w:rPr>
              <w:t>(mPa s)</w:t>
            </w:r>
          </w:p>
        </w:tc>
        <w:tc>
          <w:tcPr>
            <w:tcW w:w="0" w:type="dxa"/>
            <w:vAlign w:val="bottom"/>
          </w:tcPr>
          <w:p>
            <w:pPr>
              <w:spacing w:after="0"/>
              <w:rPr>
                <w:sz w:val="1"/>
                <w:szCs w:val="1"/>
                <w:color w:val="auto"/>
              </w:rPr>
            </w:pPr>
          </w:p>
        </w:tc>
      </w:tr>
      <w:tr>
        <w:trPr>
          <w:trHeight w:val="54"/>
        </w:trPr>
        <w:tc>
          <w:tcPr>
            <w:tcW w:w="680" w:type="dxa"/>
            <w:vAlign w:val="bottom"/>
          </w:tcPr>
          <w:p>
            <w:pPr>
              <w:spacing w:after="0"/>
              <w:rPr>
                <w:sz w:val="4"/>
                <w:szCs w:val="4"/>
                <w:color w:val="auto"/>
              </w:rPr>
            </w:pPr>
          </w:p>
        </w:tc>
        <w:tc>
          <w:tcPr>
            <w:tcW w:w="1140" w:type="dxa"/>
            <w:vAlign w:val="bottom"/>
          </w:tcPr>
          <w:p>
            <w:pPr>
              <w:spacing w:after="0"/>
              <w:rPr>
                <w:sz w:val="4"/>
                <w:szCs w:val="4"/>
                <w:color w:val="auto"/>
              </w:rPr>
            </w:pPr>
          </w:p>
        </w:tc>
        <w:tc>
          <w:tcPr>
            <w:tcW w:w="1140" w:type="dxa"/>
            <w:vAlign w:val="bottom"/>
            <w:vMerge w:val="restart"/>
          </w:tcPr>
          <w:p>
            <w:pPr>
              <w:jc w:val="center"/>
              <w:spacing w:after="0"/>
              <w:rPr>
                <w:sz w:val="20"/>
                <w:szCs w:val="20"/>
                <w:color w:val="auto"/>
              </w:rPr>
            </w:pPr>
            <w:r>
              <w:rPr>
                <w:rFonts w:ascii="Arial" w:cs="Arial" w:eastAsia="Arial" w:hAnsi="Arial"/>
                <w:sz w:val="17"/>
                <w:szCs w:val="17"/>
                <w:color w:val="auto"/>
              </w:rPr>
              <w:t>Devonian–</w:t>
            </w:r>
          </w:p>
        </w:tc>
        <w:tc>
          <w:tcPr>
            <w:tcW w:w="1020" w:type="dxa"/>
            <w:vAlign w:val="bottom"/>
          </w:tcPr>
          <w:p>
            <w:pPr>
              <w:spacing w:after="0"/>
              <w:rPr>
                <w:sz w:val="4"/>
                <w:szCs w:val="4"/>
                <w:color w:val="auto"/>
              </w:rPr>
            </w:pPr>
          </w:p>
        </w:tc>
        <w:tc>
          <w:tcPr>
            <w:tcW w:w="920" w:type="dxa"/>
            <w:vAlign w:val="bottom"/>
          </w:tcPr>
          <w:p>
            <w:pPr>
              <w:spacing w:after="0"/>
              <w:rPr>
                <w:sz w:val="4"/>
                <w:szCs w:val="4"/>
                <w:color w:val="auto"/>
              </w:rPr>
            </w:pPr>
          </w:p>
        </w:tc>
        <w:tc>
          <w:tcPr>
            <w:tcW w:w="880" w:type="dxa"/>
            <w:vAlign w:val="bottom"/>
            <w:vMerge w:val="continue"/>
          </w:tcPr>
          <w:p>
            <w:pPr>
              <w:spacing w:after="0"/>
              <w:rPr>
                <w:sz w:val="4"/>
                <w:szCs w:val="4"/>
                <w:color w:val="auto"/>
              </w:rPr>
            </w:pPr>
          </w:p>
        </w:tc>
        <w:tc>
          <w:tcPr>
            <w:tcW w:w="540" w:type="dxa"/>
            <w:vAlign w:val="bottom"/>
          </w:tcPr>
          <w:p>
            <w:pPr>
              <w:spacing w:after="0"/>
              <w:rPr>
                <w:sz w:val="4"/>
                <w:szCs w:val="4"/>
                <w:color w:val="auto"/>
              </w:rPr>
            </w:pPr>
          </w:p>
        </w:tc>
        <w:tc>
          <w:tcPr>
            <w:tcW w:w="520" w:type="dxa"/>
            <w:vAlign w:val="bottom"/>
          </w:tcPr>
          <w:p>
            <w:pPr>
              <w:spacing w:after="0"/>
              <w:rPr>
                <w:sz w:val="4"/>
                <w:szCs w:val="4"/>
                <w:color w:val="auto"/>
              </w:rPr>
            </w:pPr>
          </w:p>
        </w:tc>
        <w:tc>
          <w:tcPr>
            <w:tcW w:w="680" w:type="dxa"/>
            <w:vAlign w:val="bottom"/>
          </w:tcPr>
          <w:p>
            <w:pPr>
              <w:spacing w:after="0"/>
              <w:rPr>
                <w:sz w:val="4"/>
                <w:szCs w:val="4"/>
                <w:color w:val="auto"/>
              </w:rPr>
            </w:pPr>
          </w:p>
        </w:tc>
        <w:tc>
          <w:tcPr>
            <w:tcW w:w="580" w:type="dxa"/>
            <w:vAlign w:val="bottom"/>
          </w:tcPr>
          <w:p>
            <w:pPr>
              <w:spacing w:after="0"/>
              <w:rPr>
                <w:sz w:val="4"/>
                <w:szCs w:val="4"/>
                <w:color w:val="auto"/>
              </w:rPr>
            </w:pPr>
          </w:p>
        </w:tc>
        <w:tc>
          <w:tcPr>
            <w:tcW w:w="840" w:type="dxa"/>
            <w:vAlign w:val="bottom"/>
          </w:tcPr>
          <w:p>
            <w:pPr>
              <w:spacing w:after="0"/>
              <w:rPr>
                <w:sz w:val="4"/>
                <w:szCs w:val="4"/>
                <w:color w:val="auto"/>
              </w:rPr>
            </w:pPr>
          </w:p>
        </w:tc>
        <w:tc>
          <w:tcPr>
            <w:tcW w:w="7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69"/>
        </w:trPr>
        <w:tc>
          <w:tcPr>
            <w:tcW w:w="680" w:type="dxa"/>
            <w:vAlign w:val="bottom"/>
            <w:vMerge w:val="restart"/>
          </w:tcPr>
          <w:p>
            <w:pPr>
              <w:jc w:val="center"/>
              <w:spacing w:after="0"/>
              <w:rPr>
                <w:sz w:val="20"/>
                <w:szCs w:val="20"/>
                <w:color w:val="auto"/>
              </w:rPr>
            </w:pPr>
            <w:r>
              <w:rPr>
                <w:rFonts w:ascii="Arial" w:cs="Arial" w:eastAsia="Arial" w:hAnsi="Arial"/>
                <w:sz w:val="17"/>
                <w:szCs w:val="17"/>
                <w:color w:val="auto"/>
              </w:rPr>
              <w:t>Williston</w:t>
            </w:r>
          </w:p>
        </w:tc>
        <w:tc>
          <w:tcPr>
            <w:tcW w:w="1140" w:type="dxa"/>
            <w:vAlign w:val="bottom"/>
            <w:vMerge w:val="restart"/>
          </w:tcPr>
          <w:p>
            <w:pPr>
              <w:jc w:val="center"/>
              <w:spacing w:after="0"/>
              <w:rPr>
                <w:sz w:val="20"/>
                <w:szCs w:val="20"/>
                <w:color w:val="auto"/>
              </w:rPr>
            </w:pPr>
            <w:r>
              <w:rPr>
                <w:rFonts w:ascii="Arial" w:cs="Arial" w:eastAsia="Arial" w:hAnsi="Arial"/>
                <w:sz w:val="17"/>
                <w:szCs w:val="17"/>
                <w:color w:val="auto"/>
                <w:w w:val="99"/>
              </w:rPr>
              <w:t>Bakken Fm.</w:t>
            </w:r>
          </w:p>
        </w:tc>
        <w:tc>
          <w:tcPr>
            <w:tcW w:w="1140" w:type="dxa"/>
            <w:vAlign w:val="bottom"/>
            <w:vMerge w:val="continue"/>
          </w:tcPr>
          <w:p>
            <w:pPr>
              <w:spacing w:after="0"/>
              <w:rPr>
                <w:sz w:val="14"/>
                <w:szCs w:val="14"/>
                <w:color w:val="auto"/>
              </w:rPr>
            </w:pPr>
          </w:p>
        </w:tc>
        <w:tc>
          <w:tcPr>
            <w:tcW w:w="1020" w:type="dxa"/>
            <w:vAlign w:val="bottom"/>
            <w:vMerge w:val="restart"/>
          </w:tcPr>
          <w:p>
            <w:pPr>
              <w:jc w:val="center"/>
              <w:spacing w:after="0"/>
              <w:rPr>
                <w:sz w:val="20"/>
                <w:szCs w:val="20"/>
                <w:color w:val="auto"/>
              </w:rPr>
            </w:pPr>
            <w:r>
              <w:rPr>
                <w:rFonts w:ascii="Arial" w:cs="Arial" w:eastAsia="Arial" w:hAnsi="Arial"/>
                <w:sz w:val="17"/>
                <w:szCs w:val="17"/>
                <w:color w:val="auto"/>
                <w:w w:val="99"/>
              </w:rPr>
              <w:t>Marine</w:t>
            </w:r>
          </w:p>
        </w:tc>
        <w:tc>
          <w:tcPr>
            <w:tcW w:w="920" w:type="dxa"/>
            <w:vAlign w:val="bottom"/>
            <w:vMerge w:val="restart"/>
          </w:tcPr>
          <w:p>
            <w:pPr>
              <w:jc w:val="center"/>
              <w:spacing w:after="0"/>
              <w:rPr>
                <w:sz w:val="20"/>
                <w:szCs w:val="20"/>
                <w:color w:val="auto"/>
              </w:rPr>
            </w:pPr>
            <w:r>
              <w:rPr>
                <w:rFonts w:ascii="Arial" w:cs="Arial" w:eastAsia="Arial" w:hAnsi="Arial"/>
                <w:sz w:val="17"/>
                <w:szCs w:val="17"/>
                <w:color w:val="auto"/>
                <w:w w:val="98"/>
              </w:rPr>
              <w:t>2591–3200</w:t>
            </w:r>
          </w:p>
        </w:tc>
        <w:tc>
          <w:tcPr>
            <w:tcW w:w="880" w:type="dxa"/>
            <w:vAlign w:val="bottom"/>
            <w:vMerge w:val="restart"/>
          </w:tcPr>
          <w:p>
            <w:pPr>
              <w:jc w:val="center"/>
              <w:spacing w:after="0"/>
              <w:rPr>
                <w:sz w:val="20"/>
                <w:szCs w:val="20"/>
                <w:color w:val="auto"/>
              </w:rPr>
            </w:pPr>
            <w:r>
              <w:rPr>
                <w:rFonts w:ascii="Arial" w:cs="Arial" w:eastAsia="Arial" w:hAnsi="Arial"/>
                <w:sz w:val="17"/>
                <w:szCs w:val="17"/>
                <w:color w:val="auto"/>
              </w:rPr>
              <w:t>15–25</w:t>
            </w:r>
          </w:p>
        </w:tc>
        <w:tc>
          <w:tcPr>
            <w:tcW w:w="540" w:type="dxa"/>
            <w:vAlign w:val="bottom"/>
            <w:vMerge w:val="restart"/>
          </w:tcPr>
          <w:p>
            <w:pPr>
              <w:jc w:val="center"/>
              <w:spacing w:after="0"/>
              <w:rPr>
                <w:sz w:val="20"/>
                <w:szCs w:val="20"/>
                <w:color w:val="auto"/>
              </w:rPr>
            </w:pPr>
            <w:r>
              <w:rPr>
                <w:rFonts w:ascii="Arial" w:cs="Arial" w:eastAsia="Arial" w:hAnsi="Arial"/>
                <w:sz w:val="17"/>
                <w:szCs w:val="17"/>
                <w:color w:val="auto"/>
              </w:rPr>
              <w:t>3</w:t>
            </w:r>
          </w:p>
        </w:tc>
        <w:tc>
          <w:tcPr>
            <w:tcW w:w="520" w:type="dxa"/>
            <w:vAlign w:val="bottom"/>
            <w:vMerge w:val="restart"/>
          </w:tcPr>
          <w:p>
            <w:pPr>
              <w:jc w:val="center"/>
              <w:spacing w:after="0"/>
              <w:rPr>
                <w:sz w:val="20"/>
                <w:szCs w:val="20"/>
                <w:color w:val="auto"/>
              </w:rPr>
            </w:pPr>
            <w:r>
              <w:rPr>
                <w:rFonts w:ascii="Arial" w:cs="Arial" w:eastAsia="Arial" w:hAnsi="Arial"/>
                <w:sz w:val="17"/>
                <w:szCs w:val="17"/>
                <w:color w:val="auto"/>
              </w:rPr>
              <w:t>8–20</w:t>
            </w:r>
          </w:p>
        </w:tc>
        <w:tc>
          <w:tcPr>
            <w:tcW w:w="680" w:type="dxa"/>
            <w:vAlign w:val="bottom"/>
            <w:vMerge w:val="restart"/>
          </w:tcPr>
          <w:p>
            <w:pPr>
              <w:jc w:val="center"/>
              <w:spacing w:after="0"/>
              <w:rPr>
                <w:sz w:val="20"/>
                <w:szCs w:val="20"/>
                <w:color w:val="auto"/>
              </w:rPr>
            </w:pPr>
            <w:r>
              <w:rPr>
                <w:rFonts w:ascii="Arial" w:cs="Arial" w:eastAsia="Arial" w:hAnsi="Arial"/>
                <w:sz w:val="17"/>
                <w:szCs w:val="17"/>
                <w:color w:val="auto"/>
              </w:rPr>
              <w:t>0.6–1.0</w:t>
            </w:r>
          </w:p>
        </w:tc>
        <w:tc>
          <w:tcPr>
            <w:tcW w:w="580" w:type="dxa"/>
            <w:vAlign w:val="bottom"/>
            <w:vMerge w:val="restart"/>
          </w:tcPr>
          <w:p>
            <w:pPr>
              <w:jc w:val="center"/>
              <w:spacing w:after="0"/>
              <w:rPr>
                <w:sz w:val="20"/>
                <w:szCs w:val="20"/>
                <w:color w:val="auto"/>
              </w:rPr>
            </w:pPr>
            <w:r>
              <w:rPr>
                <w:rFonts w:ascii="Arial" w:cs="Arial" w:eastAsia="Arial" w:hAnsi="Arial"/>
                <w:sz w:val="17"/>
                <w:szCs w:val="17"/>
                <w:color w:val="auto"/>
              </w:rPr>
              <w:t>5–13</w:t>
            </w:r>
          </w:p>
        </w:tc>
        <w:tc>
          <w:tcPr>
            <w:tcW w:w="840" w:type="dxa"/>
            <w:vAlign w:val="bottom"/>
            <w:vMerge w:val="restart"/>
          </w:tcPr>
          <w:p>
            <w:pPr>
              <w:jc w:val="center"/>
              <w:spacing w:after="0"/>
              <w:rPr>
                <w:sz w:val="20"/>
                <w:szCs w:val="20"/>
                <w:color w:val="auto"/>
              </w:rPr>
            </w:pPr>
            <w:r>
              <w:rPr>
                <w:rFonts w:ascii="Arial" w:cs="Arial" w:eastAsia="Arial" w:hAnsi="Arial"/>
                <w:sz w:val="17"/>
                <w:szCs w:val="17"/>
                <w:color w:val="auto"/>
                <w:w w:val="98"/>
              </w:rPr>
              <w:t>1.6–1.8</w:t>
            </w:r>
          </w:p>
        </w:tc>
        <w:tc>
          <w:tcPr>
            <w:tcW w:w="740" w:type="dxa"/>
            <w:vAlign w:val="bottom"/>
            <w:vMerge w:val="restart"/>
          </w:tcPr>
          <w:p>
            <w:pPr>
              <w:jc w:val="center"/>
              <w:spacing w:after="0"/>
              <w:rPr>
                <w:sz w:val="20"/>
                <w:szCs w:val="20"/>
                <w:color w:val="auto"/>
              </w:rPr>
            </w:pPr>
            <w:r>
              <w:rPr>
                <w:rFonts w:ascii="Arial" w:cs="Arial" w:eastAsia="Arial" w:hAnsi="Arial"/>
                <w:sz w:val="17"/>
                <w:szCs w:val="17"/>
                <w:color w:val="auto"/>
                <w:w w:val="96"/>
              </w:rPr>
              <w:t>0.45</w:t>
            </w:r>
          </w:p>
        </w:tc>
        <w:tc>
          <w:tcPr>
            <w:tcW w:w="0" w:type="dxa"/>
            <w:vAlign w:val="bottom"/>
          </w:tcPr>
          <w:p>
            <w:pPr>
              <w:spacing w:after="0"/>
              <w:rPr>
                <w:sz w:val="1"/>
                <w:szCs w:val="1"/>
                <w:color w:val="auto"/>
              </w:rPr>
            </w:pPr>
          </w:p>
        </w:tc>
      </w:tr>
      <w:tr>
        <w:trPr>
          <w:trHeight w:val="197"/>
        </w:trPr>
        <w:tc>
          <w:tcPr>
            <w:tcW w:w="680" w:type="dxa"/>
            <w:vAlign w:val="bottom"/>
            <w:vMerge w:val="continue"/>
          </w:tcPr>
          <w:p>
            <w:pPr>
              <w:spacing w:after="0"/>
              <w:rPr>
                <w:sz w:val="17"/>
                <w:szCs w:val="17"/>
                <w:color w:val="auto"/>
              </w:rPr>
            </w:pPr>
          </w:p>
        </w:tc>
        <w:tc>
          <w:tcPr>
            <w:tcW w:w="1140" w:type="dxa"/>
            <w:vAlign w:val="bottom"/>
            <w:vMerge w:val="continue"/>
          </w:tcPr>
          <w:p>
            <w:pPr>
              <w:spacing w:after="0"/>
              <w:rPr>
                <w:sz w:val="17"/>
                <w:szCs w:val="17"/>
                <w:color w:val="auto"/>
              </w:rPr>
            </w:pPr>
          </w:p>
        </w:tc>
        <w:tc>
          <w:tcPr>
            <w:tcW w:w="1140" w:type="dxa"/>
            <w:vAlign w:val="bottom"/>
          </w:tcPr>
          <w:p>
            <w:pPr>
              <w:jc w:val="center"/>
              <w:spacing w:after="0"/>
              <w:rPr>
                <w:sz w:val="20"/>
                <w:szCs w:val="20"/>
                <w:color w:val="auto"/>
              </w:rPr>
            </w:pPr>
            <w:r>
              <w:rPr>
                <w:rFonts w:ascii="Arial" w:cs="Arial" w:eastAsia="Arial" w:hAnsi="Arial"/>
                <w:sz w:val="17"/>
                <w:szCs w:val="17"/>
                <w:color w:val="auto"/>
                <w:w w:val="99"/>
              </w:rPr>
              <w:t>Carboniferous</w:t>
            </w:r>
          </w:p>
        </w:tc>
        <w:tc>
          <w:tcPr>
            <w:tcW w:w="1020" w:type="dxa"/>
            <w:vAlign w:val="bottom"/>
            <w:vMerge w:val="continue"/>
          </w:tcPr>
          <w:p>
            <w:pPr>
              <w:spacing w:after="0"/>
              <w:rPr>
                <w:sz w:val="17"/>
                <w:szCs w:val="17"/>
                <w:color w:val="auto"/>
              </w:rPr>
            </w:pPr>
          </w:p>
        </w:tc>
        <w:tc>
          <w:tcPr>
            <w:tcW w:w="920" w:type="dxa"/>
            <w:vAlign w:val="bottom"/>
            <w:vMerge w:val="continue"/>
          </w:tcPr>
          <w:p>
            <w:pPr>
              <w:spacing w:after="0"/>
              <w:rPr>
                <w:sz w:val="17"/>
                <w:szCs w:val="17"/>
                <w:color w:val="auto"/>
              </w:rPr>
            </w:pPr>
          </w:p>
        </w:tc>
        <w:tc>
          <w:tcPr>
            <w:tcW w:w="880" w:type="dxa"/>
            <w:vAlign w:val="bottom"/>
            <w:vMerge w:val="continue"/>
          </w:tcPr>
          <w:p>
            <w:pPr>
              <w:spacing w:after="0"/>
              <w:rPr>
                <w:sz w:val="17"/>
                <w:szCs w:val="17"/>
                <w:color w:val="auto"/>
              </w:rPr>
            </w:pPr>
          </w:p>
        </w:tc>
        <w:tc>
          <w:tcPr>
            <w:tcW w:w="540" w:type="dxa"/>
            <w:vAlign w:val="bottom"/>
            <w:vMerge w:val="continue"/>
          </w:tcPr>
          <w:p>
            <w:pPr>
              <w:spacing w:after="0"/>
              <w:rPr>
                <w:sz w:val="17"/>
                <w:szCs w:val="17"/>
                <w:color w:val="auto"/>
              </w:rPr>
            </w:pPr>
          </w:p>
        </w:tc>
        <w:tc>
          <w:tcPr>
            <w:tcW w:w="520" w:type="dxa"/>
            <w:vAlign w:val="bottom"/>
            <w:vMerge w:val="continue"/>
          </w:tcPr>
          <w:p>
            <w:pPr>
              <w:spacing w:after="0"/>
              <w:rPr>
                <w:sz w:val="17"/>
                <w:szCs w:val="17"/>
                <w:color w:val="auto"/>
              </w:rPr>
            </w:pPr>
          </w:p>
        </w:tc>
        <w:tc>
          <w:tcPr>
            <w:tcW w:w="680" w:type="dxa"/>
            <w:vAlign w:val="bottom"/>
            <w:vMerge w:val="continue"/>
          </w:tcPr>
          <w:p>
            <w:pPr>
              <w:spacing w:after="0"/>
              <w:rPr>
                <w:sz w:val="17"/>
                <w:szCs w:val="17"/>
                <w:color w:val="auto"/>
              </w:rPr>
            </w:pPr>
          </w:p>
        </w:tc>
        <w:tc>
          <w:tcPr>
            <w:tcW w:w="580" w:type="dxa"/>
            <w:vAlign w:val="bottom"/>
            <w:vMerge w:val="continue"/>
          </w:tcPr>
          <w:p>
            <w:pPr>
              <w:spacing w:after="0"/>
              <w:rPr>
                <w:sz w:val="17"/>
                <w:szCs w:val="17"/>
                <w:color w:val="auto"/>
              </w:rPr>
            </w:pPr>
          </w:p>
        </w:tc>
        <w:tc>
          <w:tcPr>
            <w:tcW w:w="840" w:type="dxa"/>
            <w:vAlign w:val="bottom"/>
            <w:vMerge w:val="continue"/>
          </w:tcPr>
          <w:p>
            <w:pPr>
              <w:spacing w:after="0"/>
              <w:rPr>
                <w:sz w:val="17"/>
                <w:szCs w:val="17"/>
                <w:color w:val="auto"/>
              </w:rPr>
            </w:pPr>
          </w:p>
        </w:tc>
        <w:tc>
          <w:tcPr>
            <w:tcW w:w="74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96"/>
        </w:trPr>
        <w:tc>
          <w:tcPr>
            <w:tcW w:w="1820" w:type="dxa"/>
            <w:vAlign w:val="bottom"/>
            <w:gridSpan w:val="2"/>
          </w:tcPr>
          <w:p>
            <w:pPr>
              <w:jc w:val="right"/>
              <w:spacing w:after="0"/>
              <w:rPr>
                <w:sz w:val="20"/>
                <w:szCs w:val="20"/>
                <w:color w:val="auto"/>
              </w:rPr>
            </w:pPr>
            <w:r>
              <w:rPr>
                <w:rFonts w:ascii="Arial" w:cs="Arial" w:eastAsia="Arial" w:hAnsi="Arial"/>
                <w:sz w:val="17"/>
                <w:szCs w:val="17"/>
                <w:color w:val="auto"/>
              </w:rPr>
              <w:t>Permian Wolfcamp Fm.</w:t>
            </w:r>
          </w:p>
        </w:tc>
        <w:tc>
          <w:tcPr>
            <w:tcW w:w="1140" w:type="dxa"/>
            <w:vAlign w:val="bottom"/>
          </w:tcPr>
          <w:p>
            <w:pPr>
              <w:jc w:val="center"/>
              <w:spacing w:after="0"/>
              <w:rPr>
                <w:sz w:val="20"/>
                <w:szCs w:val="20"/>
                <w:color w:val="auto"/>
              </w:rPr>
            </w:pPr>
            <w:r>
              <w:rPr>
                <w:rFonts w:ascii="Arial" w:cs="Arial" w:eastAsia="Arial" w:hAnsi="Arial"/>
                <w:sz w:val="17"/>
                <w:szCs w:val="17"/>
                <w:color w:val="auto"/>
              </w:rPr>
              <w:t>Permian</w:t>
            </w:r>
          </w:p>
        </w:tc>
        <w:tc>
          <w:tcPr>
            <w:tcW w:w="1020" w:type="dxa"/>
            <w:vAlign w:val="bottom"/>
          </w:tcPr>
          <w:p>
            <w:pPr>
              <w:jc w:val="center"/>
              <w:spacing w:after="0"/>
              <w:rPr>
                <w:sz w:val="20"/>
                <w:szCs w:val="20"/>
                <w:color w:val="auto"/>
              </w:rPr>
            </w:pPr>
            <w:r>
              <w:rPr>
                <w:rFonts w:ascii="Arial" w:cs="Arial" w:eastAsia="Arial" w:hAnsi="Arial"/>
                <w:sz w:val="17"/>
                <w:szCs w:val="17"/>
                <w:color w:val="auto"/>
                <w:w w:val="99"/>
              </w:rPr>
              <w:t>Marine</w:t>
            </w:r>
          </w:p>
        </w:tc>
        <w:tc>
          <w:tcPr>
            <w:tcW w:w="920" w:type="dxa"/>
            <w:vAlign w:val="bottom"/>
          </w:tcPr>
          <w:p>
            <w:pPr>
              <w:jc w:val="center"/>
              <w:spacing w:after="0"/>
              <w:rPr>
                <w:sz w:val="20"/>
                <w:szCs w:val="20"/>
                <w:color w:val="auto"/>
              </w:rPr>
            </w:pPr>
            <w:r>
              <w:rPr>
                <w:rFonts w:ascii="Arial" w:cs="Arial" w:eastAsia="Arial" w:hAnsi="Arial"/>
                <w:sz w:val="17"/>
                <w:szCs w:val="17"/>
                <w:color w:val="auto"/>
                <w:w w:val="98"/>
              </w:rPr>
              <w:t>1200–3000</w:t>
            </w:r>
          </w:p>
        </w:tc>
        <w:tc>
          <w:tcPr>
            <w:tcW w:w="880" w:type="dxa"/>
            <w:vAlign w:val="bottom"/>
          </w:tcPr>
          <w:p>
            <w:pPr>
              <w:jc w:val="center"/>
              <w:spacing w:after="0"/>
              <w:rPr>
                <w:sz w:val="20"/>
                <w:szCs w:val="20"/>
                <w:color w:val="auto"/>
              </w:rPr>
            </w:pPr>
            <w:r>
              <w:rPr>
                <w:rFonts w:ascii="Arial" w:cs="Arial" w:eastAsia="Arial" w:hAnsi="Arial"/>
                <w:sz w:val="17"/>
                <w:szCs w:val="17"/>
                <w:color w:val="auto"/>
                <w:w w:val="99"/>
              </w:rPr>
              <w:t>300–600</w:t>
            </w:r>
          </w:p>
        </w:tc>
        <w:tc>
          <w:tcPr>
            <w:tcW w:w="540" w:type="dxa"/>
            <w:vAlign w:val="bottom"/>
          </w:tcPr>
          <w:p>
            <w:pPr>
              <w:jc w:val="center"/>
              <w:spacing w:after="0"/>
              <w:rPr>
                <w:sz w:val="20"/>
                <w:szCs w:val="20"/>
                <w:color w:val="auto"/>
              </w:rPr>
            </w:pPr>
            <w:r>
              <w:rPr>
                <w:rFonts w:ascii="Arial" w:cs="Arial" w:eastAsia="Arial" w:hAnsi="Arial"/>
                <w:sz w:val="17"/>
                <w:szCs w:val="17"/>
                <w:color w:val="auto"/>
              </w:rPr>
              <w:t>8</w:t>
            </w:r>
          </w:p>
        </w:tc>
        <w:tc>
          <w:tcPr>
            <w:tcW w:w="520" w:type="dxa"/>
            <w:vAlign w:val="bottom"/>
          </w:tcPr>
          <w:p>
            <w:pPr>
              <w:jc w:val="center"/>
              <w:spacing w:after="0"/>
              <w:rPr>
                <w:sz w:val="20"/>
                <w:szCs w:val="20"/>
                <w:color w:val="auto"/>
              </w:rPr>
            </w:pPr>
            <w:r>
              <w:rPr>
                <w:rFonts w:ascii="Arial" w:cs="Arial" w:eastAsia="Arial" w:hAnsi="Arial"/>
                <w:sz w:val="17"/>
                <w:szCs w:val="17"/>
                <w:color w:val="auto"/>
                <w:w w:val="98"/>
              </w:rPr>
              <w:t>2–9</w:t>
            </w:r>
          </w:p>
        </w:tc>
        <w:tc>
          <w:tcPr>
            <w:tcW w:w="680" w:type="dxa"/>
            <w:vAlign w:val="bottom"/>
          </w:tcPr>
          <w:p>
            <w:pPr>
              <w:jc w:val="center"/>
              <w:spacing w:after="0"/>
              <w:rPr>
                <w:sz w:val="20"/>
                <w:szCs w:val="20"/>
                <w:color w:val="auto"/>
              </w:rPr>
            </w:pPr>
            <w:r>
              <w:rPr>
                <w:rFonts w:ascii="Arial" w:cs="Arial" w:eastAsia="Arial" w:hAnsi="Arial"/>
                <w:sz w:val="17"/>
                <w:szCs w:val="17"/>
                <w:color w:val="auto"/>
              </w:rPr>
              <w:t>0.7–1.0</w:t>
            </w:r>
          </w:p>
        </w:tc>
        <w:tc>
          <w:tcPr>
            <w:tcW w:w="580" w:type="dxa"/>
            <w:vAlign w:val="bottom"/>
          </w:tcPr>
          <w:p>
            <w:pPr>
              <w:jc w:val="center"/>
              <w:spacing w:after="0"/>
              <w:rPr>
                <w:sz w:val="20"/>
                <w:szCs w:val="20"/>
                <w:color w:val="auto"/>
              </w:rPr>
            </w:pPr>
            <w:r>
              <w:rPr>
                <w:rFonts w:ascii="Arial" w:cs="Arial" w:eastAsia="Arial" w:hAnsi="Arial"/>
                <w:sz w:val="17"/>
                <w:szCs w:val="17"/>
                <w:color w:val="auto"/>
              </w:rPr>
              <w:t>4–12</w:t>
            </w:r>
          </w:p>
        </w:tc>
        <w:tc>
          <w:tcPr>
            <w:tcW w:w="840" w:type="dxa"/>
            <w:vAlign w:val="bottom"/>
          </w:tcPr>
          <w:p>
            <w:pPr>
              <w:jc w:val="center"/>
              <w:spacing w:after="0"/>
              <w:rPr>
                <w:sz w:val="20"/>
                <w:szCs w:val="20"/>
                <w:color w:val="auto"/>
              </w:rPr>
            </w:pPr>
            <w:r>
              <w:rPr>
                <w:rFonts w:ascii="Arial" w:cs="Arial" w:eastAsia="Arial" w:hAnsi="Arial"/>
                <w:sz w:val="17"/>
                <w:szCs w:val="17"/>
                <w:color w:val="auto"/>
                <w:w w:val="98"/>
              </w:rPr>
              <w:t>1.0–1.2</w:t>
            </w:r>
          </w:p>
        </w:tc>
        <w:tc>
          <w:tcPr>
            <w:tcW w:w="740" w:type="dxa"/>
            <w:vAlign w:val="bottom"/>
          </w:tcPr>
          <w:p>
            <w:pPr>
              <w:jc w:val="center"/>
              <w:spacing w:after="0"/>
              <w:rPr>
                <w:sz w:val="20"/>
                <w:szCs w:val="20"/>
                <w:color w:val="auto"/>
              </w:rPr>
            </w:pPr>
            <w:r>
              <w:rPr>
                <w:rFonts w:ascii="Arial" w:cs="Arial" w:eastAsia="Arial" w:hAnsi="Arial"/>
                <w:sz w:val="17"/>
                <w:szCs w:val="17"/>
                <w:color w:val="auto"/>
                <w:w w:val="96"/>
              </w:rPr>
              <w:t>0.50</w:t>
            </w:r>
          </w:p>
        </w:tc>
        <w:tc>
          <w:tcPr>
            <w:tcW w:w="0" w:type="dxa"/>
            <w:vAlign w:val="bottom"/>
          </w:tcPr>
          <w:p>
            <w:pPr>
              <w:spacing w:after="0"/>
              <w:rPr>
                <w:sz w:val="1"/>
                <w:szCs w:val="1"/>
                <w:color w:val="auto"/>
              </w:rPr>
            </w:pPr>
          </w:p>
        </w:tc>
      </w:tr>
      <w:tr>
        <w:trPr>
          <w:trHeight w:val="194"/>
        </w:trPr>
        <w:tc>
          <w:tcPr>
            <w:tcW w:w="680" w:type="dxa"/>
            <w:vAlign w:val="bottom"/>
            <w:vMerge w:val="restart"/>
          </w:tcPr>
          <w:p>
            <w:pPr>
              <w:jc w:val="center"/>
              <w:spacing w:after="0"/>
              <w:rPr>
                <w:sz w:val="20"/>
                <w:szCs w:val="20"/>
                <w:color w:val="auto"/>
              </w:rPr>
            </w:pPr>
            <w:r>
              <w:rPr>
                <w:rFonts w:ascii="Arial" w:cs="Arial" w:eastAsia="Arial" w:hAnsi="Arial"/>
                <w:sz w:val="17"/>
                <w:szCs w:val="17"/>
                <w:color w:val="auto"/>
              </w:rPr>
              <w:t>Ordos</w:t>
            </w:r>
          </w:p>
        </w:tc>
        <w:tc>
          <w:tcPr>
            <w:tcW w:w="1140" w:type="dxa"/>
            <w:vAlign w:val="bottom"/>
          </w:tcPr>
          <w:p>
            <w:pPr>
              <w:jc w:val="center"/>
              <w:spacing w:after="0" w:line="194" w:lineRule="exact"/>
              <w:rPr>
                <w:sz w:val="20"/>
                <w:szCs w:val="20"/>
                <w:color w:val="auto"/>
              </w:rPr>
            </w:pPr>
            <w:r>
              <w:rPr>
                <w:rFonts w:ascii="Arial" w:cs="Arial" w:eastAsia="Arial" w:hAnsi="Arial"/>
                <w:sz w:val="17"/>
                <w:szCs w:val="17"/>
                <w:color w:val="auto"/>
              </w:rPr>
              <w:t>Yanchang</w:t>
            </w:r>
          </w:p>
        </w:tc>
        <w:tc>
          <w:tcPr>
            <w:tcW w:w="1140" w:type="dxa"/>
            <w:vAlign w:val="bottom"/>
            <w:vMerge w:val="restart"/>
          </w:tcPr>
          <w:p>
            <w:pPr>
              <w:jc w:val="center"/>
              <w:spacing w:after="0"/>
              <w:rPr>
                <w:sz w:val="20"/>
                <w:szCs w:val="20"/>
                <w:color w:val="auto"/>
              </w:rPr>
            </w:pPr>
            <w:r>
              <w:rPr>
                <w:rFonts w:ascii="Arial" w:cs="Arial" w:eastAsia="Arial" w:hAnsi="Arial"/>
                <w:sz w:val="17"/>
                <w:szCs w:val="17"/>
                <w:color w:val="auto"/>
                <w:w w:val="98"/>
              </w:rPr>
              <w:t>Triassic</w:t>
            </w:r>
          </w:p>
        </w:tc>
        <w:tc>
          <w:tcPr>
            <w:tcW w:w="1020" w:type="dxa"/>
            <w:vAlign w:val="bottom"/>
            <w:vMerge w:val="restart"/>
          </w:tcPr>
          <w:p>
            <w:pPr>
              <w:jc w:val="center"/>
              <w:spacing w:after="0"/>
              <w:rPr>
                <w:sz w:val="20"/>
                <w:szCs w:val="20"/>
                <w:color w:val="auto"/>
              </w:rPr>
            </w:pPr>
            <w:r>
              <w:rPr>
                <w:rFonts w:ascii="Arial" w:cs="Arial" w:eastAsia="Arial" w:hAnsi="Arial"/>
                <w:sz w:val="17"/>
                <w:szCs w:val="17"/>
                <w:color w:val="auto"/>
                <w:w w:val="99"/>
              </w:rPr>
              <w:t>Lacustrine</w:t>
            </w:r>
          </w:p>
        </w:tc>
        <w:tc>
          <w:tcPr>
            <w:tcW w:w="920" w:type="dxa"/>
            <w:vAlign w:val="bottom"/>
            <w:vMerge w:val="restart"/>
          </w:tcPr>
          <w:p>
            <w:pPr>
              <w:jc w:val="center"/>
              <w:spacing w:after="0"/>
              <w:rPr>
                <w:sz w:val="20"/>
                <w:szCs w:val="20"/>
                <w:color w:val="auto"/>
              </w:rPr>
            </w:pPr>
            <w:r>
              <w:rPr>
                <w:rFonts w:ascii="Arial" w:cs="Arial" w:eastAsia="Arial" w:hAnsi="Arial"/>
                <w:sz w:val="17"/>
                <w:szCs w:val="17"/>
                <w:color w:val="auto"/>
                <w:w w:val="98"/>
              </w:rPr>
              <w:t>1600–2200</w:t>
            </w:r>
          </w:p>
        </w:tc>
        <w:tc>
          <w:tcPr>
            <w:tcW w:w="880" w:type="dxa"/>
            <w:vAlign w:val="bottom"/>
            <w:vMerge w:val="restart"/>
          </w:tcPr>
          <w:p>
            <w:pPr>
              <w:jc w:val="center"/>
              <w:spacing w:after="0"/>
              <w:rPr>
                <w:sz w:val="20"/>
                <w:szCs w:val="20"/>
                <w:color w:val="auto"/>
              </w:rPr>
            </w:pPr>
            <w:r>
              <w:rPr>
                <w:rFonts w:ascii="Arial" w:cs="Arial" w:eastAsia="Arial" w:hAnsi="Arial"/>
                <w:sz w:val="17"/>
                <w:szCs w:val="17"/>
                <w:color w:val="auto"/>
              </w:rPr>
              <w:t>2–26</w:t>
            </w:r>
          </w:p>
        </w:tc>
        <w:tc>
          <w:tcPr>
            <w:tcW w:w="540" w:type="dxa"/>
            <w:vAlign w:val="bottom"/>
            <w:vMerge w:val="restart"/>
          </w:tcPr>
          <w:p>
            <w:pPr>
              <w:jc w:val="center"/>
              <w:spacing w:after="0"/>
              <w:rPr>
                <w:sz w:val="20"/>
                <w:szCs w:val="20"/>
                <w:color w:val="auto"/>
              </w:rPr>
            </w:pPr>
            <w:r>
              <w:rPr>
                <w:rFonts w:ascii="Arial" w:cs="Arial" w:eastAsia="Arial" w:hAnsi="Arial"/>
                <w:sz w:val="17"/>
                <w:szCs w:val="17"/>
                <w:color w:val="auto"/>
              </w:rPr>
              <w:t>5</w:t>
            </w:r>
          </w:p>
        </w:tc>
        <w:tc>
          <w:tcPr>
            <w:tcW w:w="520" w:type="dxa"/>
            <w:vAlign w:val="bottom"/>
            <w:vMerge w:val="restart"/>
          </w:tcPr>
          <w:p>
            <w:pPr>
              <w:jc w:val="center"/>
              <w:spacing w:after="0"/>
              <w:rPr>
                <w:sz w:val="20"/>
                <w:szCs w:val="20"/>
                <w:color w:val="auto"/>
              </w:rPr>
            </w:pPr>
            <w:r>
              <w:rPr>
                <w:rFonts w:ascii="Arial" w:cs="Arial" w:eastAsia="Arial" w:hAnsi="Arial"/>
                <w:sz w:val="17"/>
                <w:szCs w:val="17"/>
                <w:color w:val="auto"/>
              </w:rPr>
              <w:t>2–20</w:t>
            </w:r>
          </w:p>
        </w:tc>
        <w:tc>
          <w:tcPr>
            <w:tcW w:w="680" w:type="dxa"/>
            <w:vAlign w:val="bottom"/>
            <w:vMerge w:val="restart"/>
          </w:tcPr>
          <w:p>
            <w:pPr>
              <w:jc w:val="center"/>
              <w:spacing w:after="0"/>
              <w:rPr>
                <w:sz w:val="20"/>
                <w:szCs w:val="20"/>
                <w:color w:val="auto"/>
              </w:rPr>
            </w:pPr>
            <w:r>
              <w:rPr>
                <w:rFonts w:ascii="Arial" w:cs="Arial" w:eastAsia="Arial" w:hAnsi="Arial"/>
                <w:sz w:val="17"/>
                <w:szCs w:val="17"/>
                <w:color w:val="auto"/>
              </w:rPr>
              <w:t>0.6–1.2</w:t>
            </w:r>
          </w:p>
        </w:tc>
        <w:tc>
          <w:tcPr>
            <w:tcW w:w="580" w:type="dxa"/>
            <w:vAlign w:val="bottom"/>
            <w:vMerge w:val="restart"/>
          </w:tcPr>
          <w:p>
            <w:pPr>
              <w:jc w:val="center"/>
              <w:spacing w:after="0"/>
              <w:rPr>
                <w:sz w:val="20"/>
                <w:szCs w:val="20"/>
                <w:color w:val="auto"/>
              </w:rPr>
            </w:pPr>
            <w:r>
              <w:rPr>
                <w:rFonts w:ascii="Arial" w:cs="Arial" w:eastAsia="Arial" w:hAnsi="Arial"/>
                <w:sz w:val="17"/>
                <w:szCs w:val="17"/>
                <w:color w:val="auto"/>
              </w:rPr>
              <w:t>4–12</w:t>
            </w:r>
          </w:p>
        </w:tc>
        <w:tc>
          <w:tcPr>
            <w:tcW w:w="840" w:type="dxa"/>
            <w:vAlign w:val="bottom"/>
            <w:vMerge w:val="restart"/>
          </w:tcPr>
          <w:p>
            <w:pPr>
              <w:jc w:val="center"/>
              <w:spacing w:after="0"/>
              <w:rPr>
                <w:sz w:val="20"/>
                <w:szCs w:val="20"/>
                <w:color w:val="auto"/>
              </w:rPr>
            </w:pPr>
            <w:r>
              <w:rPr>
                <w:rFonts w:ascii="Arial" w:cs="Arial" w:eastAsia="Arial" w:hAnsi="Arial"/>
                <w:sz w:val="17"/>
                <w:szCs w:val="17"/>
                <w:color w:val="auto"/>
                <w:w w:val="98"/>
              </w:rPr>
              <w:t>0.7–0.8</w:t>
            </w:r>
          </w:p>
        </w:tc>
        <w:tc>
          <w:tcPr>
            <w:tcW w:w="740" w:type="dxa"/>
            <w:vAlign w:val="bottom"/>
          </w:tcPr>
          <w:p>
            <w:pPr>
              <w:jc w:val="center"/>
              <w:spacing w:after="0" w:line="194" w:lineRule="exact"/>
              <w:rPr>
                <w:sz w:val="20"/>
                <w:szCs w:val="20"/>
                <w:color w:val="auto"/>
              </w:rPr>
            </w:pPr>
            <w:r>
              <w:rPr>
                <w:rFonts w:ascii="Arial" w:cs="Arial" w:eastAsia="Arial" w:hAnsi="Arial"/>
                <w:sz w:val="17"/>
                <w:szCs w:val="17"/>
                <w:color w:val="auto"/>
              </w:rPr>
              <w:t>3.00–</w:t>
            </w:r>
          </w:p>
        </w:tc>
        <w:tc>
          <w:tcPr>
            <w:tcW w:w="0" w:type="dxa"/>
            <w:vAlign w:val="bottom"/>
          </w:tcPr>
          <w:p>
            <w:pPr>
              <w:spacing w:after="0"/>
              <w:rPr>
                <w:sz w:val="1"/>
                <w:szCs w:val="1"/>
                <w:color w:val="auto"/>
              </w:rPr>
            </w:pPr>
          </w:p>
        </w:tc>
      </w:tr>
      <w:tr>
        <w:trPr>
          <w:trHeight w:val="133"/>
        </w:trPr>
        <w:tc>
          <w:tcPr>
            <w:tcW w:w="680" w:type="dxa"/>
            <w:vAlign w:val="bottom"/>
            <w:vMerge w:val="continue"/>
          </w:tcPr>
          <w:p>
            <w:pPr>
              <w:spacing w:after="0"/>
              <w:rPr>
                <w:sz w:val="11"/>
                <w:szCs w:val="11"/>
                <w:color w:val="auto"/>
              </w:rPr>
            </w:pPr>
          </w:p>
        </w:tc>
        <w:tc>
          <w:tcPr>
            <w:tcW w:w="1140" w:type="dxa"/>
            <w:vAlign w:val="bottom"/>
            <w:vMerge w:val="restart"/>
          </w:tcPr>
          <w:p>
            <w:pPr>
              <w:jc w:val="center"/>
              <w:spacing w:after="0"/>
              <w:rPr>
                <w:sz w:val="20"/>
                <w:szCs w:val="20"/>
                <w:color w:val="auto"/>
              </w:rPr>
            </w:pPr>
            <w:r>
              <w:rPr>
                <w:rFonts w:ascii="Arial" w:cs="Arial" w:eastAsia="Arial" w:hAnsi="Arial"/>
                <w:sz w:val="17"/>
                <w:szCs w:val="17"/>
                <w:color w:val="auto"/>
              </w:rPr>
              <w:t>Fm.</w:t>
            </w:r>
          </w:p>
        </w:tc>
        <w:tc>
          <w:tcPr>
            <w:tcW w:w="1140" w:type="dxa"/>
            <w:vAlign w:val="bottom"/>
            <w:vMerge w:val="continue"/>
          </w:tcPr>
          <w:p>
            <w:pPr>
              <w:spacing w:after="0"/>
              <w:rPr>
                <w:sz w:val="11"/>
                <w:szCs w:val="11"/>
                <w:color w:val="auto"/>
              </w:rPr>
            </w:pPr>
          </w:p>
        </w:tc>
        <w:tc>
          <w:tcPr>
            <w:tcW w:w="1020" w:type="dxa"/>
            <w:vAlign w:val="bottom"/>
            <w:vMerge w:val="continue"/>
          </w:tcPr>
          <w:p>
            <w:pPr>
              <w:spacing w:after="0"/>
              <w:rPr>
                <w:sz w:val="11"/>
                <w:szCs w:val="11"/>
                <w:color w:val="auto"/>
              </w:rPr>
            </w:pPr>
          </w:p>
        </w:tc>
        <w:tc>
          <w:tcPr>
            <w:tcW w:w="920" w:type="dxa"/>
            <w:vAlign w:val="bottom"/>
            <w:vMerge w:val="continue"/>
          </w:tcPr>
          <w:p>
            <w:pPr>
              <w:spacing w:after="0"/>
              <w:rPr>
                <w:sz w:val="11"/>
                <w:szCs w:val="11"/>
                <w:color w:val="auto"/>
              </w:rPr>
            </w:pPr>
          </w:p>
        </w:tc>
        <w:tc>
          <w:tcPr>
            <w:tcW w:w="880" w:type="dxa"/>
            <w:vAlign w:val="bottom"/>
            <w:vMerge w:val="continue"/>
          </w:tcPr>
          <w:p>
            <w:pPr>
              <w:spacing w:after="0"/>
              <w:rPr>
                <w:sz w:val="11"/>
                <w:szCs w:val="11"/>
                <w:color w:val="auto"/>
              </w:rPr>
            </w:pPr>
          </w:p>
        </w:tc>
        <w:tc>
          <w:tcPr>
            <w:tcW w:w="540" w:type="dxa"/>
            <w:vAlign w:val="bottom"/>
            <w:vMerge w:val="continue"/>
          </w:tcPr>
          <w:p>
            <w:pPr>
              <w:spacing w:after="0"/>
              <w:rPr>
                <w:sz w:val="11"/>
                <w:szCs w:val="11"/>
                <w:color w:val="auto"/>
              </w:rPr>
            </w:pPr>
          </w:p>
        </w:tc>
        <w:tc>
          <w:tcPr>
            <w:tcW w:w="520" w:type="dxa"/>
            <w:vAlign w:val="bottom"/>
            <w:vMerge w:val="continue"/>
          </w:tcPr>
          <w:p>
            <w:pPr>
              <w:spacing w:after="0"/>
              <w:rPr>
                <w:sz w:val="11"/>
                <w:szCs w:val="11"/>
                <w:color w:val="auto"/>
              </w:rPr>
            </w:pPr>
          </w:p>
        </w:tc>
        <w:tc>
          <w:tcPr>
            <w:tcW w:w="680" w:type="dxa"/>
            <w:vAlign w:val="bottom"/>
            <w:vMerge w:val="continue"/>
          </w:tcPr>
          <w:p>
            <w:pPr>
              <w:spacing w:after="0"/>
              <w:rPr>
                <w:sz w:val="11"/>
                <w:szCs w:val="11"/>
                <w:color w:val="auto"/>
              </w:rPr>
            </w:pPr>
          </w:p>
        </w:tc>
        <w:tc>
          <w:tcPr>
            <w:tcW w:w="580" w:type="dxa"/>
            <w:vAlign w:val="bottom"/>
            <w:vMerge w:val="continue"/>
          </w:tcPr>
          <w:p>
            <w:pPr>
              <w:spacing w:after="0"/>
              <w:rPr>
                <w:sz w:val="11"/>
                <w:szCs w:val="11"/>
                <w:color w:val="auto"/>
              </w:rPr>
            </w:pPr>
          </w:p>
        </w:tc>
        <w:tc>
          <w:tcPr>
            <w:tcW w:w="840" w:type="dxa"/>
            <w:vAlign w:val="bottom"/>
            <w:vMerge w:val="continue"/>
          </w:tcPr>
          <w:p>
            <w:pPr>
              <w:spacing w:after="0"/>
              <w:rPr>
                <w:sz w:val="11"/>
                <w:szCs w:val="11"/>
                <w:color w:val="auto"/>
              </w:rPr>
            </w:pPr>
          </w:p>
        </w:tc>
        <w:tc>
          <w:tcPr>
            <w:tcW w:w="740" w:type="dxa"/>
            <w:vAlign w:val="bottom"/>
            <w:vMerge w:val="restart"/>
          </w:tcPr>
          <w:p>
            <w:pPr>
              <w:jc w:val="center"/>
              <w:spacing w:after="0"/>
              <w:rPr>
                <w:sz w:val="20"/>
                <w:szCs w:val="20"/>
                <w:color w:val="auto"/>
              </w:rPr>
            </w:pPr>
            <w:r>
              <w:rPr>
                <w:rFonts w:ascii="Arial" w:cs="Arial" w:eastAsia="Arial" w:hAnsi="Arial"/>
                <w:sz w:val="17"/>
                <w:szCs w:val="17"/>
                <w:color w:val="auto"/>
                <w:w w:val="96"/>
              </w:rPr>
              <w:t>8.00</w:t>
            </w:r>
          </w:p>
        </w:tc>
        <w:tc>
          <w:tcPr>
            <w:tcW w:w="0" w:type="dxa"/>
            <w:vAlign w:val="bottom"/>
          </w:tcPr>
          <w:p>
            <w:pPr>
              <w:spacing w:after="0"/>
              <w:rPr>
                <w:sz w:val="1"/>
                <w:szCs w:val="1"/>
                <w:color w:val="auto"/>
              </w:rPr>
            </w:pPr>
          </w:p>
        </w:tc>
      </w:tr>
      <w:tr>
        <w:trPr>
          <w:trHeight w:val="62"/>
        </w:trPr>
        <w:tc>
          <w:tcPr>
            <w:tcW w:w="680" w:type="dxa"/>
            <w:vAlign w:val="bottom"/>
          </w:tcPr>
          <w:p>
            <w:pPr>
              <w:spacing w:after="0"/>
              <w:rPr>
                <w:sz w:val="5"/>
                <w:szCs w:val="5"/>
                <w:color w:val="auto"/>
              </w:rPr>
            </w:pPr>
          </w:p>
        </w:tc>
        <w:tc>
          <w:tcPr>
            <w:tcW w:w="1140" w:type="dxa"/>
            <w:vAlign w:val="bottom"/>
            <w:vMerge w:val="continue"/>
          </w:tcPr>
          <w:p>
            <w:pPr>
              <w:spacing w:after="0"/>
              <w:rPr>
                <w:sz w:val="5"/>
                <w:szCs w:val="5"/>
                <w:color w:val="auto"/>
              </w:rPr>
            </w:pPr>
          </w:p>
        </w:tc>
        <w:tc>
          <w:tcPr>
            <w:tcW w:w="1140" w:type="dxa"/>
            <w:vAlign w:val="bottom"/>
          </w:tcPr>
          <w:p>
            <w:pPr>
              <w:spacing w:after="0"/>
              <w:rPr>
                <w:sz w:val="5"/>
                <w:szCs w:val="5"/>
                <w:color w:val="auto"/>
              </w:rPr>
            </w:pPr>
          </w:p>
        </w:tc>
        <w:tc>
          <w:tcPr>
            <w:tcW w:w="1020" w:type="dxa"/>
            <w:vAlign w:val="bottom"/>
          </w:tcPr>
          <w:p>
            <w:pPr>
              <w:spacing w:after="0"/>
              <w:rPr>
                <w:sz w:val="5"/>
                <w:szCs w:val="5"/>
                <w:color w:val="auto"/>
              </w:rPr>
            </w:pPr>
          </w:p>
        </w:tc>
        <w:tc>
          <w:tcPr>
            <w:tcW w:w="920" w:type="dxa"/>
            <w:vAlign w:val="bottom"/>
          </w:tcPr>
          <w:p>
            <w:pPr>
              <w:spacing w:after="0"/>
              <w:rPr>
                <w:sz w:val="5"/>
                <w:szCs w:val="5"/>
                <w:color w:val="auto"/>
              </w:rPr>
            </w:pPr>
          </w:p>
        </w:tc>
        <w:tc>
          <w:tcPr>
            <w:tcW w:w="880" w:type="dxa"/>
            <w:vAlign w:val="bottom"/>
          </w:tcPr>
          <w:p>
            <w:pPr>
              <w:spacing w:after="0"/>
              <w:rPr>
                <w:sz w:val="5"/>
                <w:szCs w:val="5"/>
                <w:color w:val="auto"/>
              </w:rPr>
            </w:pPr>
          </w:p>
        </w:tc>
        <w:tc>
          <w:tcPr>
            <w:tcW w:w="540" w:type="dxa"/>
            <w:vAlign w:val="bottom"/>
          </w:tcPr>
          <w:p>
            <w:pPr>
              <w:spacing w:after="0"/>
              <w:rPr>
                <w:sz w:val="5"/>
                <w:szCs w:val="5"/>
                <w:color w:val="auto"/>
              </w:rPr>
            </w:pPr>
          </w:p>
        </w:tc>
        <w:tc>
          <w:tcPr>
            <w:tcW w:w="520" w:type="dxa"/>
            <w:vAlign w:val="bottom"/>
          </w:tcPr>
          <w:p>
            <w:pPr>
              <w:spacing w:after="0"/>
              <w:rPr>
                <w:sz w:val="5"/>
                <w:szCs w:val="5"/>
                <w:color w:val="auto"/>
              </w:rPr>
            </w:pPr>
          </w:p>
        </w:tc>
        <w:tc>
          <w:tcPr>
            <w:tcW w:w="680" w:type="dxa"/>
            <w:vAlign w:val="bottom"/>
          </w:tcPr>
          <w:p>
            <w:pPr>
              <w:spacing w:after="0"/>
              <w:rPr>
                <w:sz w:val="5"/>
                <w:szCs w:val="5"/>
                <w:color w:val="auto"/>
              </w:rPr>
            </w:pPr>
          </w:p>
        </w:tc>
        <w:tc>
          <w:tcPr>
            <w:tcW w:w="580" w:type="dxa"/>
            <w:vAlign w:val="bottom"/>
          </w:tcPr>
          <w:p>
            <w:pPr>
              <w:spacing w:after="0"/>
              <w:rPr>
                <w:sz w:val="5"/>
                <w:szCs w:val="5"/>
                <w:color w:val="auto"/>
              </w:rPr>
            </w:pPr>
          </w:p>
        </w:tc>
        <w:tc>
          <w:tcPr>
            <w:tcW w:w="840" w:type="dxa"/>
            <w:vAlign w:val="bottom"/>
          </w:tcPr>
          <w:p>
            <w:pPr>
              <w:spacing w:after="0"/>
              <w:rPr>
                <w:sz w:val="5"/>
                <w:szCs w:val="5"/>
                <w:color w:val="auto"/>
              </w:rPr>
            </w:pPr>
          </w:p>
        </w:tc>
        <w:tc>
          <w:tcPr>
            <w:tcW w:w="7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96"/>
        </w:trPr>
        <w:tc>
          <w:tcPr>
            <w:tcW w:w="1820" w:type="dxa"/>
            <w:vAlign w:val="bottom"/>
            <w:gridSpan w:val="2"/>
            <w:vMerge w:val="restart"/>
          </w:tcPr>
          <w:p>
            <w:pPr>
              <w:jc w:val="right"/>
              <w:spacing w:after="0"/>
              <w:rPr>
                <w:sz w:val="20"/>
                <w:szCs w:val="20"/>
                <w:color w:val="auto"/>
              </w:rPr>
            </w:pPr>
            <w:r>
              <w:rPr>
                <w:rFonts w:ascii="Arial" w:cs="Arial" w:eastAsia="Arial" w:hAnsi="Arial"/>
                <w:sz w:val="17"/>
                <w:szCs w:val="17"/>
                <w:color w:val="auto"/>
              </w:rPr>
              <w:t>Junggar Lucaogou Fm.</w:t>
            </w:r>
          </w:p>
        </w:tc>
        <w:tc>
          <w:tcPr>
            <w:tcW w:w="1140" w:type="dxa"/>
            <w:vAlign w:val="bottom"/>
            <w:vMerge w:val="restart"/>
          </w:tcPr>
          <w:p>
            <w:pPr>
              <w:jc w:val="center"/>
              <w:spacing w:after="0"/>
              <w:rPr>
                <w:sz w:val="20"/>
                <w:szCs w:val="20"/>
                <w:color w:val="auto"/>
              </w:rPr>
            </w:pPr>
            <w:r>
              <w:rPr>
                <w:rFonts w:ascii="Arial" w:cs="Arial" w:eastAsia="Arial" w:hAnsi="Arial"/>
                <w:sz w:val="17"/>
                <w:szCs w:val="17"/>
                <w:color w:val="auto"/>
              </w:rPr>
              <w:t>Permian</w:t>
            </w:r>
          </w:p>
        </w:tc>
        <w:tc>
          <w:tcPr>
            <w:tcW w:w="1020" w:type="dxa"/>
            <w:vAlign w:val="bottom"/>
            <w:vMerge w:val="restart"/>
          </w:tcPr>
          <w:p>
            <w:pPr>
              <w:jc w:val="center"/>
              <w:spacing w:after="0"/>
              <w:rPr>
                <w:sz w:val="20"/>
                <w:szCs w:val="20"/>
                <w:color w:val="auto"/>
              </w:rPr>
            </w:pPr>
            <w:r>
              <w:rPr>
                <w:rFonts w:ascii="Arial" w:cs="Arial" w:eastAsia="Arial" w:hAnsi="Arial"/>
                <w:sz w:val="17"/>
                <w:szCs w:val="17"/>
                <w:color w:val="auto"/>
                <w:w w:val="99"/>
              </w:rPr>
              <w:t>Lacustrine</w:t>
            </w:r>
          </w:p>
        </w:tc>
        <w:tc>
          <w:tcPr>
            <w:tcW w:w="920" w:type="dxa"/>
            <w:vAlign w:val="bottom"/>
            <w:vMerge w:val="restart"/>
          </w:tcPr>
          <w:p>
            <w:pPr>
              <w:jc w:val="center"/>
              <w:spacing w:after="0"/>
              <w:rPr>
                <w:sz w:val="20"/>
                <w:szCs w:val="20"/>
                <w:color w:val="auto"/>
              </w:rPr>
            </w:pPr>
            <w:r>
              <w:rPr>
                <w:rFonts w:ascii="Arial" w:cs="Arial" w:eastAsia="Arial" w:hAnsi="Arial"/>
                <w:sz w:val="17"/>
                <w:szCs w:val="17"/>
                <w:color w:val="auto"/>
                <w:w w:val="98"/>
              </w:rPr>
              <w:t>2340–4500</w:t>
            </w:r>
          </w:p>
        </w:tc>
        <w:tc>
          <w:tcPr>
            <w:tcW w:w="880" w:type="dxa"/>
            <w:vAlign w:val="bottom"/>
            <w:vMerge w:val="restart"/>
          </w:tcPr>
          <w:p>
            <w:pPr>
              <w:jc w:val="center"/>
              <w:spacing w:after="0"/>
              <w:rPr>
                <w:sz w:val="20"/>
                <w:szCs w:val="20"/>
                <w:color w:val="auto"/>
              </w:rPr>
            </w:pPr>
            <w:r>
              <w:rPr>
                <w:rFonts w:ascii="Arial" w:cs="Arial" w:eastAsia="Arial" w:hAnsi="Arial"/>
                <w:sz w:val="17"/>
                <w:szCs w:val="17"/>
                <w:color w:val="auto"/>
                <w:w w:val="98"/>
              </w:rPr>
              <w:t>0.5–5.0</w:t>
            </w:r>
          </w:p>
        </w:tc>
        <w:tc>
          <w:tcPr>
            <w:tcW w:w="540" w:type="dxa"/>
            <w:vAlign w:val="bottom"/>
            <w:vMerge w:val="restart"/>
          </w:tcPr>
          <w:p>
            <w:pPr>
              <w:jc w:val="center"/>
              <w:spacing w:after="0"/>
              <w:rPr>
                <w:sz w:val="20"/>
                <w:szCs w:val="20"/>
                <w:color w:val="auto"/>
              </w:rPr>
            </w:pPr>
            <w:r>
              <w:rPr>
                <w:rFonts w:ascii="Arial" w:cs="Arial" w:eastAsia="Arial" w:hAnsi="Arial"/>
                <w:sz w:val="17"/>
                <w:szCs w:val="17"/>
                <w:color w:val="auto"/>
              </w:rPr>
              <w:t>6</w:t>
            </w:r>
          </w:p>
        </w:tc>
        <w:tc>
          <w:tcPr>
            <w:tcW w:w="520" w:type="dxa"/>
            <w:vAlign w:val="bottom"/>
            <w:vMerge w:val="restart"/>
          </w:tcPr>
          <w:p>
            <w:pPr>
              <w:jc w:val="center"/>
              <w:spacing w:after="0"/>
              <w:rPr>
                <w:sz w:val="20"/>
                <w:szCs w:val="20"/>
                <w:color w:val="auto"/>
              </w:rPr>
            </w:pPr>
            <w:r>
              <w:rPr>
                <w:rFonts w:ascii="Arial" w:cs="Arial" w:eastAsia="Arial" w:hAnsi="Arial"/>
                <w:sz w:val="17"/>
                <w:szCs w:val="17"/>
                <w:color w:val="auto"/>
              </w:rPr>
              <w:t>1–20</w:t>
            </w:r>
          </w:p>
        </w:tc>
        <w:tc>
          <w:tcPr>
            <w:tcW w:w="680" w:type="dxa"/>
            <w:vAlign w:val="bottom"/>
            <w:vMerge w:val="restart"/>
          </w:tcPr>
          <w:p>
            <w:pPr>
              <w:jc w:val="center"/>
              <w:spacing w:after="0"/>
              <w:rPr>
                <w:sz w:val="20"/>
                <w:szCs w:val="20"/>
                <w:color w:val="auto"/>
              </w:rPr>
            </w:pPr>
            <w:r>
              <w:rPr>
                <w:rFonts w:ascii="Arial" w:cs="Arial" w:eastAsia="Arial" w:hAnsi="Arial"/>
                <w:sz w:val="17"/>
                <w:szCs w:val="17"/>
                <w:color w:val="auto"/>
              </w:rPr>
              <w:t>0.6–1.3</w:t>
            </w:r>
          </w:p>
        </w:tc>
        <w:tc>
          <w:tcPr>
            <w:tcW w:w="580" w:type="dxa"/>
            <w:vAlign w:val="bottom"/>
            <w:vMerge w:val="restart"/>
          </w:tcPr>
          <w:p>
            <w:pPr>
              <w:jc w:val="center"/>
              <w:spacing w:after="0"/>
              <w:rPr>
                <w:sz w:val="20"/>
                <w:szCs w:val="20"/>
                <w:color w:val="auto"/>
              </w:rPr>
            </w:pPr>
            <w:r>
              <w:rPr>
                <w:rFonts w:ascii="Arial" w:cs="Arial" w:eastAsia="Arial" w:hAnsi="Arial"/>
                <w:sz w:val="17"/>
                <w:szCs w:val="17"/>
                <w:color w:val="auto"/>
              </w:rPr>
              <w:t>4–12</w:t>
            </w:r>
          </w:p>
        </w:tc>
        <w:tc>
          <w:tcPr>
            <w:tcW w:w="840" w:type="dxa"/>
            <w:vAlign w:val="bottom"/>
            <w:vMerge w:val="restart"/>
          </w:tcPr>
          <w:p>
            <w:pPr>
              <w:jc w:val="center"/>
              <w:spacing w:after="0"/>
              <w:rPr>
                <w:sz w:val="20"/>
                <w:szCs w:val="20"/>
                <w:color w:val="auto"/>
              </w:rPr>
            </w:pPr>
            <w:r>
              <w:rPr>
                <w:rFonts w:ascii="Arial" w:cs="Arial" w:eastAsia="Arial" w:hAnsi="Arial"/>
                <w:sz w:val="17"/>
                <w:szCs w:val="17"/>
                <w:color w:val="auto"/>
                <w:w w:val="98"/>
              </w:rPr>
              <w:t>1.0–1.1</w:t>
            </w:r>
          </w:p>
        </w:tc>
        <w:tc>
          <w:tcPr>
            <w:tcW w:w="740" w:type="dxa"/>
            <w:vAlign w:val="bottom"/>
          </w:tcPr>
          <w:p>
            <w:pPr>
              <w:jc w:val="center"/>
              <w:spacing w:after="0"/>
              <w:rPr>
                <w:sz w:val="20"/>
                <w:szCs w:val="20"/>
                <w:color w:val="auto"/>
              </w:rPr>
            </w:pPr>
            <w:r>
              <w:rPr>
                <w:rFonts w:ascii="Arial" w:cs="Arial" w:eastAsia="Arial" w:hAnsi="Arial"/>
                <w:sz w:val="17"/>
                <w:szCs w:val="17"/>
                <w:color w:val="auto"/>
                <w:w w:val="99"/>
              </w:rPr>
              <w:t>50.30–</w:t>
            </w:r>
          </w:p>
        </w:tc>
        <w:tc>
          <w:tcPr>
            <w:tcW w:w="0" w:type="dxa"/>
            <w:vAlign w:val="bottom"/>
          </w:tcPr>
          <w:p>
            <w:pPr>
              <w:spacing w:after="0"/>
              <w:rPr>
                <w:sz w:val="1"/>
                <w:szCs w:val="1"/>
                <w:color w:val="auto"/>
              </w:rPr>
            </w:pPr>
          </w:p>
        </w:tc>
      </w:tr>
      <w:tr>
        <w:trPr>
          <w:trHeight w:val="132"/>
        </w:trPr>
        <w:tc>
          <w:tcPr>
            <w:tcW w:w="1820" w:type="dxa"/>
            <w:vAlign w:val="bottom"/>
            <w:gridSpan w:val="2"/>
            <w:vMerge w:val="continue"/>
          </w:tcPr>
          <w:p>
            <w:pPr>
              <w:spacing w:after="0"/>
              <w:rPr>
                <w:sz w:val="11"/>
                <w:szCs w:val="11"/>
                <w:color w:val="auto"/>
              </w:rPr>
            </w:pPr>
          </w:p>
        </w:tc>
        <w:tc>
          <w:tcPr>
            <w:tcW w:w="1140" w:type="dxa"/>
            <w:vAlign w:val="bottom"/>
            <w:vMerge w:val="continue"/>
          </w:tcPr>
          <w:p>
            <w:pPr>
              <w:spacing w:after="0"/>
              <w:rPr>
                <w:sz w:val="11"/>
                <w:szCs w:val="11"/>
                <w:color w:val="auto"/>
              </w:rPr>
            </w:pPr>
          </w:p>
        </w:tc>
        <w:tc>
          <w:tcPr>
            <w:tcW w:w="1020" w:type="dxa"/>
            <w:vAlign w:val="bottom"/>
            <w:vMerge w:val="continue"/>
          </w:tcPr>
          <w:p>
            <w:pPr>
              <w:spacing w:after="0"/>
              <w:rPr>
                <w:sz w:val="11"/>
                <w:szCs w:val="11"/>
                <w:color w:val="auto"/>
              </w:rPr>
            </w:pPr>
          </w:p>
        </w:tc>
        <w:tc>
          <w:tcPr>
            <w:tcW w:w="920" w:type="dxa"/>
            <w:vAlign w:val="bottom"/>
            <w:vMerge w:val="continue"/>
          </w:tcPr>
          <w:p>
            <w:pPr>
              <w:spacing w:after="0"/>
              <w:rPr>
                <w:sz w:val="11"/>
                <w:szCs w:val="11"/>
                <w:color w:val="auto"/>
              </w:rPr>
            </w:pPr>
          </w:p>
        </w:tc>
        <w:tc>
          <w:tcPr>
            <w:tcW w:w="880" w:type="dxa"/>
            <w:vAlign w:val="bottom"/>
            <w:vMerge w:val="continue"/>
          </w:tcPr>
          <w:p>
            <w:pPr>
              <w:spacing w:after="0"/>
              <w:rPr>
                <w:sz w:val="11"/>
                <w:szCs w:val="11"/>
                <w:color w:val="auto"/>
              </w:rPr>
            </w:pPr>
          </w:p>
        </w:tc>
        <w:tc>
          <w:tcPr>
            <w:tcW w:w="540" w:type="dxa"/>
            <w:vAlign w:val="bottom"/>
            <w:vMerge w:val="continue"/>
          </w:tcPr>
          <w:p>
            <w:pPr>
              <w:spacing w:after="0"/>
              <w:rPr>
                <w:sz w:val="11"/>
                <w:szCs w:val="11"/>
                <w:color w:val="auto"/>
              </w:rPr>
            </w:pPr>
          </w:p>
        </w:tc>
        <w:tc>
          <w:tcPr>
            <w:tcW w:w="520" w:type="dxa"/>
            <w:vAlign w:val="bottom"/>
            <w:vMerge w:val="continue"/>
          </w:tcPr>
          <w:p>
            <w:pPr>
              <w:spacing w:after="0"/>
              <w:rPr>
                <w:sz w:val="11"/>
                <w:szCs w:val="11"/>
                <w:color w:val="auto"/>
              </w:rPr>
            </w:pPr>
          </w:p>
        </w:tc>
        <w:tc>
          <w:tcPr>
            <w:tcW w:w="680" w:type="dxa"/>
            <w:vAlign w:val="bottom"/>
            <w:vMerge w:val="continue"/>
          </w:tcPr>
          <w:p>
            <w:pPr>
              <w:spacing w:after="0"/>
              <w:rPr>
                <w:sz w:val="11"/>
                <w:szCs w:val="11"/>
                <w:color w:val="auto"/>
              </w:rPr>
            </w:pPr>
          </w:p>
        </w:tc>
        <w:tc>
          <w:tcPr>
            <w:tcW w:w="580" w:type="dxa"/>
            <w:vAlign w:val="bottom"/>
            <w:vMerge w:val="continue"/>
          </w:tcPr>
          <w:p>
            <w:pPr>
              <w:spacing w:after="0"/>
              <w:rPr>
                <w:sz w:val="11"/>
                <w:szCs w:val="11"/>
                <w:color w:val="auto"/>
              </w:rPr>
            </w:pPr>
          </w:p>
        </w:tc>
        <w:tc>
          <w:tcPr>
            <w:tcW w:w="840" w:type="dxa"/>
            <w:vAlign w:val="bottom"/>
            <w:vMerge w:val="continue"/>
          </w:tcPr>
          <w:p>
            <w:pPr>
              <w:spacing w:after="0"/>
              <w:rPr>
                <w:sz w:val="11"/>
                <w:szCs w:val="11"/>
                <w:color w:val="auto"/>
              </w:rPr>
            </w:pPr>
          </w:p>
        </w:tc>
        <w:tc>
          <w:tcPr>
            <w:tcW w:w="740" w:type="dxa"/>
            <w:vAlign w:val="bottom"/>
            <w:vMerge w:val="restart"/>
          </w:tcPr>
          <w:p>
            <w:pPr>
              <w:jc w:val="center"/>
              <w:spacing w:after="0"/>
              <w:rPr>
                <w:sz w:val="20"/>
                <w:szCs w:val="20"/>
                <w:color w:val="auto"/>
              </w:rPr>
            </w:pPr>
            <w:r>
              <w:rPr>
                <w:rFonts w:ascii="Arial" w:cs="Arial" w:eastAsia="Arial" w:hAnsi="Arial"/>
                <w:sz w:val="17"/>
                <w:szCs w:val="17"/>
                <w:color w:val="auto"/>
                <w:w w:val="99"/>
              </w:rPr>
              <w:t>123.20</w:t>
            </w:r>
          </w:p>
        </w:tc>
        <w:tc>
          <w:tcPr>
            <w:tcW w:w="0" w:type="dxa"/>
            <w:vAlign w:val="bottom"/>
          </w:tcPr>
          <w:p>
            <w:pPr>
              <w:spacing w:after="0"/>
              <w:rPr>
                <w:sz w:val="1"/>
                <w:szCs w:val="1"/>
                <w:color w:val="auto"/>
              </w:rPr>
            </w:pPr>
          </w:p>
        </w:tc>
      </w:tr>
      <w:tr>
        <w:trPr>
          <w:trHeight w:val="98"/>
        </w:trPr>
        <w:tc>
          <w:tcPr>
            <w:tcW w:w="680" w:type="dxa"/>
            <w:vAlign w:val="bottom"/>
          </w:tcPr>
          <w:p>
            <w:pPr>
              <w:spacing w:after="0"/>
              <w:rPr>
                <w:sz w:val="8"/>
                <w:szCs w:val="8"/>
                <w:color w:val="auto"/>
              </w:rPr>
            </w:pPr>
          </w:p>
        </w:tc>
        <w:tc>
          <w:tcPr>
            <w:tcW w:w="1140" w:type="dxa"/>
            <w:vAlign w:val="bottom"/>
          </w:tcPr>
          <w:p>
            <w:pPr>
              <w:spacing w:after="0"/>
              <w:rPr>
                <w:sz w:val="8"/>
                <w:szCs w:val="8"/>
                <w:color w:val="auto"/>
              </w:rPr>
            </w:pPr>
          </w:p>
        </w:tc>
        <w:tc>
          <w:tcPr>
            <w:tcW w:w="1140" w:type="dxa"/>
            <w:vAlign w:val="bottom"/>
          </w:tcPr>
          <w:p>
            <w:pPr>
              <w:spacing w:after="0"/>
              <w:rPr>
                <w:sz w:val="8"/>
                <w:szCs w:val="8"/>
                <w:color w:val="auto"/>
              </w:rPr>
            </w:pPr>
          </w:p>
        </w:tc>
        <w:tc>
          <w:tcPr>
            <w:tcW w:w="1020" w:type="dxa"/>
            <w:vAlign w:val="bottom"/>
          </w:tcPr>
          <w:p>
            <w:pPr>
              <w:spacing w:after="0"/>
              <w:rPr>
                <w:sz w:val="8"/>
                <w:szCs w:val="8"/>
                <w:color w:val="auto"/>
              </w:rPr>
            </w:pPr>
          </w:p>
        </w:tc>
        <w:tc>
          <w:tcPr>
            <w:tcW w:w="920" w:type="dxa"/>
            <w:vAlign w:val="bottom"/>
          </w:tcPr>
          <w:p>
            <w:pPr>
              <w:spacing w:after="0"/>
              <w:rPr>
                <w:sz w:val="8"/>
                <w:szCs w:val="8"/>
                <w:color w:val="auto"/>
              </w:rPr>
            </w:pPr>
          </w:p>
        </w:tc>
        <w:tc>
          <w:tcPr>
            <w:tcW w:w="880" w:type="dxa"/>
            <w:vAlign w:val="bottom"/>
          </w:tcPr>
          <w:p>
            <w:pPr>
              <w:spacing w:after="0"/>
              <w:rPr>
                <w:sz w:val="8"/>
                <w:szCs w:val="8"/>
                <w:color w:val="auto"/>
              </w:rPr>
            </w:pPr>
          </w:p>
        </w:tc>
        <w:tc>
          <w:tcPr>
            <w:tcW w:w="540" w:type="dxa"/>
            <w:vAlign w:val="bottom"/>
          </w:tcPr>
          <w:p>
            <w:pPr>
              <w:spacing w:after="0"/>
              <w:rPr>
                <w:sz w:val="8"/>
                <w:szCs w:val="8"/>
                <w:color w:val="auto"/>
              </w:rPr>
            </w:pPr>
          </w:p>
        </w:tc>
        <w:tc>
          <w:tcPr>
            <w:tcW w:w="520" w:type="dxa"/>
            <w:vAlign w:val="bottom"/>
          </w:tcPr>
          <w:p>
            <w:pPr>
              <w:spacing w:after="0"/>
              <w:rPr>
                <w:sz w:val="8"/>
                <w:szCs w:val="8"/>
                <w:color w:val="auto"/>
              </w:rPr>
            </w:pPr>
          </w:p>
        </w:tc>
        <w:tc>
          <w:tcPr>
            <w:tcW w:w="680" w:type="dxa"/>
            <w:vAlign w:val="bottom"/>
          </w:tcPr>
          <w:p>
            <w:pPr>
              <w:spacing w:after="0"/>
              <w:rPr>
                <w:sz w:val="8"/>
                <w:szCs w:val="8"/>
                <w:color w:val="auto"/>
              </w:rPr>
            </w:pPr>
          </w:p>
        </w:tc>
        <w:tc>
          <w:tcPr>
            <w:tcW w:w="580" w:type="dxa"/>
            <w:vAlign w:val="bottom"/>
          </w:tcPr>
          <w:p>
            <w:pPr>
              <w:spacing w:after="0"/>
              <w:rPr>
                <w:sz w:val="8"/>
                <w:szCs w:val="8"/>
                <w:color w:val="auto"/>
              </w:rPr>
            </w:pPr>
          </w:p>
        </w:tc>
        <w:tc>
          <w:tcPr>
            <w:tcW w:w="840" w:type="dxa"/>
            <w:vAlign w:val="bottom"/>
          </w:tcPr>
          <w:p>
            <w:pPr>
              <w:spacing w:after="0"/>
              <w:rPr>
                <w:sz w:val="8"/>
                <w:szCs w:val="8"/>
                <w:color w:val="auto"/>
              </w:rPr>
            </w:pPr>
          </w:p>
        </w:tc>
        <w:tc>
          <w:tcPr>
            <w:tcW w:w="7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-179705</wp:posOffset>
                </wp:positionH>
                <wp:positionV relativeFrom="paragraph">
                  <wp:posOffset>-882015</wp:posOffset>
                </wp:positionV>
                <wp:extent cx="633603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60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499pt,-69.4499pt" to="484.75pt,-69.4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-179705</wp:posOffset>
                </wp:positionH>
                <wp:positionV relativeFrom="paragraph">
                  <wp:posOffset>-2540</wp:posOffset>
                </wp:positionV>
                <wp:extent cx="633603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603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499pt,-0.1999pt" to="484.75pt,-0.1999pt" o:allowincell="f" strokecolor="#000000" strokeweight="0.96pt"/>
            </w:pict>
          </mc:Fallback>
        </mc:AlternateContent>
      </w:r>
    </w:p>
    <w:p>
      <w:pPr>
        <w:spacing w:after="0" w:line="200" w:lineRule="exact"/>
        <w:rPr>
          <w:sz w:val="20"/>
          <w:szCs w:val="20"/>
          <w:color w:val="auto"/>
        </w:rPr>
      </w:pPr>
    </w:p>
    <w:p>
      <w:pPr>
        <w:sectPr>
          <w:pgSz w:w="11900" w:h="16840" w:orient="portrait"/>
          <w:cols w:equalWidth="0" w:num="2">
            <w:col w:w="198" w:space="82"/>
            <w:col w:w="9700"/>
          </w:cols>
          <w:pgMar w:left="960" w:top="1015" w:right="964" w:bottom="412" w:gutter="0" w:footer="0" w:header="0"/>
          <w:type w:val="continuous"/>
        </w:sectPr>
      </w:pPr>
    </w:p>
    <w:p>
      <w:pPr>
        <w:spacing w:after="0" w:line="34" w:lineRule="exact"/>
        <w:rPr>
          <w:sz w:val="20"/>
          <w:szCs w:val="20"/>
          <w:color w:val="auto"/>
        </w:rPr>
      </w:pPr>
    </w:p>
    <w:p>
      <w:pPr>
        <w:spacing w:after="0"/>
        <w:tabs>
          <w:tab w:leader="none" w:pos="780" w:val="left"/>
        </w:tabs>
        <w:rPr>
          <w:sz w:val="20"/>
          <w:szCs w:val="20"/>
          <w:color w:val="auto"/>
        </w:rPr>
      </w:pPr>
      <w:r>
        <w:rPr>
          <w:rFonts w:ascii="Arial" w:cs="Arial" w:eastAsia="Arial" w:hAnsi="Arial"/>
          <w:sz w:val="17"/>
          <w:szCs w:val="17"/>
          <w:b w:val="1"/>
          <w:bCs w:val="1"/>
          <w:color w:val="auto"/>
        </w:rPr>
        <w:t>Table 2.</w:t>
        <w:tab/>
        <w:t>Comparison of geological parameters of typical shale gas blocks between China and the United States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52705</wp:posOffset>
                </wp:positionV>
                <wp:extent cx="633603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603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15pt" to="498.75pt,4.15pt" o:allowincell="f" strokecolor="#000000" strokeweight="0.96pt"/>
            </w:pict>
          </mc:Fallback>
        </mc:AlternateContent>
      </w:r>
    </w:p>
    <w:p>
      <w:pPr>
        <w:sectPr>
          <w:pgSz w:w="11900" w:h="16840" w:orient="portrait"/>
          <w:cols w:equalWidth="0" w:num="1">
            <w:col w:w="9980"/>
          </w:cols>
          <w:pgMar w:left="960" w:top="1015" w:right="964" w:bottom="412" w:gutter="0" w:footer="0" w:header="0"/>
          <w:type w:val="continuous"/>
        </w:sectPr>
      </w:pPr>
    </w:p>
    <w:p>
      <w:pPr>
        <w:spacing w:after="0" w:line="243" w:lineRule="exact"/>
        <w:rPr>
          <w:sz w:val="20"/>
          <w:szCs w:val="20"/>
          <w:color w:val="auto"/>
        </w:rPr>
      </w:pPr>
    </w:p>
    <w:tbl>
      <w:tblPr>
        <w:tblLayout w:type="fixed"/>
        <w:tblInd w:w="3" w:type="dxa"/>
        <w:tblCellMar>
          <w:top w:w="0" w:type="dxa"/>
          <w:left w:w="0" w:type="dxa"/>
          <w:bottom w:w="0" w:type="dxa"/>
          <w:right w:w="0" w:type="dxa"/>
        </w:tblCellMar>
      </w:tblPr>
      <w:tr>
        <w:trPr>
          <w:trHeight w:val="1600"/>
        </w:trPr>
        <w:tc>
          <w:tcPr>
            <w:tcW w:w="195" w:type="dxa"/>
            <w:vAlign w:val="bottom"/>
            <w:textDirection w:val="btLr"/>
          </w:tcPr>
          <w:p>
            <w:pPr>
              <w:spacing w:after="0"/>
              <w:rPr>
                <w:sz w:val="20"/>
                <w:szCs w:val="20"/>
                <w:color w:val="auto"/>
              </w:rPr>
            </w:pPr>
            <w:r>
              <w:rPr>
                <w:rFonts w:ascii="Arial" w:cs="Arial" w:eastAsia="Arial" w:hAnsi="Arial"/>
                <w:sz w:val="17"/>
                <w:szCs w:val="17"/>
                <w:color w:val="auto"/>
              </w:rPr>
              <w:t>Shale gas      Typ</w:t>
            </w:r>
          </w:p>
        </w:tc>
      </w:tr>
    </w:tbl>
    <w:p>
      <w:pPr>
        <w:spacing w:after="0" w:line="20" w:lineRule="exact"/>
        <w:rPr>
          <w:sz w:val="20"/>
          <w:szCs w:val="20"/>
          <w:color w:val="auto"/>
        </w:rPr>
      </w:pPr>
      <w:r>
        <w:rPr>
          <w:sz w:val="20"/>
          <w:szCs w:val="20"/>
          <w:color w:val="auto"/>
        </w:rPr>
        <w:br w:type="column"/>
      </w:r>
    </w:p>
    <w:p>
      <w:pPr>
        <w:spacing w:after="0" w:line="55"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96"/>
        </w:trPr>
        <w:tc>
          <w:tcPr>
            <w:tcW w:w="740" w:type="dxa"/>
            <w:vAlign w:val="bottom"/>
            <w:vMerge w:val="restart"/>
          </w:tcPr>
          <w:p>
            <w:pPr>
              <w:jc w:val="center"/>
              <w:spacing w:after="0"/>
              <w:rPr>
                <w:sz w:val="20"/>
                <w:szCs w:val="20"/>
                <w:color w:val="auto"/>
              </w:rPr>
            </w:pPr>
            <w:r>
              <w:rPr>
                <w:rFonts w:ascii="Arial" w:cs="Arial" w:eastAsia="Arial" w:hAnsi="Arial"/>
                <w:sz w:val="17"/>
                <w:szCs w:val="17"/>
                <w:color w:val="auto"/>
                <w:w w:val="99"/>
              </w:rPr>
              <w:t>Block/</w:t>
            </w:r>
          </w:p>
        </w:tc>
        <w:tc>
          <w:tcPr>
            <w:tcW w:w="1120" w:type="dxa"/>
            <w:vAlign w:val="bottom"/>
            <w:vMerge w:val="restart"/>
          </w:tcPr>
          <w:p>
            <w:pPr>
              <w:jc w:val="center"/>
              <w:spacing w:after="0"/>
              <w:rPr>
                <w:sz w:val="20"/>
                <w:szCs w:val="20"/>
                <w:color w:val="auto"/>
              </w:rPr>
            </w:pPr>
            <w:r>
              <w:rPr>
                <w:rFonts w:ascii="Arial" w:cs="Arial" w:eastAsia="Arial" w:hAnsi="Arial"/>
                <w:sz w:val="17"/>
                <w:szCs w:val="17"/>
                <w:color w:val="auto"/>
              </w:rPr>
              <w:t>Hydrocarbon-</w:t>
            </w:r>
          </w:p>
        </w:tc>
        <w:tc>
          <w:tcPr>
            <w:tcW w:w="1080" w:type="dxa"/>
            <w:vAlign w:val="bottom"/>
            <w:vMerge w:val="restart"/>
          </w:tcPr>
          <w:p>
            <w:pPr>
              <w:jc w:val="center"/>
              <w:spacing w:after="0"/>
              <w:rPr>
                <w:sz w:val="20"/>
                <w:szCs w:val="20"/>
                <w:color w:val="auto"/>
              </w:rPr>
            </w:pPr>
            <w:r>
              <w:rPr>
                <w:rFonts w:ascii="Arial" w:cs="Arial" w:eastAsia="Arial" w:hAnsi="Arial"/>
                <w:sz w:val="17"/>
                <w:szCs w:val="17"/>
                <w:color w:val="auto"/>
              </w:rPr>
              <w:t>Stratigraphic</w:t>
            </w:r>
          </w:p>
        </w:tc>
        <w:tc>
          <w:tcPr>
            <w:tcW w:w="980" w:type="dxa"/>
            <w:vAlign w:val="bottom"/>
            <w:vMerge w:val="restart"/>
          </w:tcPr>
          <w:p>
            <w:pPr>
              <w:ind w:left="20"/>
              <w:spacing w:after="0"/>
              <w:rPr>
                <w:sz w:val="20"/>
                <w:szCs w:val="20"/>
                <w:color w:val="auto"/>
              </w:rPr>
            </w:pPr>
            <w:r>
              <w:rPr>
                <w:rFonts w:ascii="Arial" w:cs="Arial" w:eastAsia="Arial" w:hAnsi="Arial"/>
                <w:sz w:val="17"/>
                <w:szCs w:val="17"/>
                <w:color w:val="auto"/>
                <w:w w:val="98"/>
              </w:rPr>
              <w:t>Sedimentary</w:t>
            </w:r>
          </w:p>
        </w:tc>
        <w:tc>
          <w:tcPr>
            <w:tcW w:w="900" w:type="dxa"/>
            <w:vAlign w:val="bottom"/>
            <w:vMerge w:val="restart"/>
          </w:tcPr>
          <w:p>
            <w:pPr>
              <w:jc w:val="center"/>
              <w:spacing w:after="0"/>
              <w:rPr>
                <w:sz w:val="20"/>
                <w:szCs w:val="20"/>
                <w:color w:val="auto"/>
              </w:rPr>
            </w:pPr>
            <w:r>
              <w:rPr>
                <w:rFonts w:ascii="Arial" w:cs="Arial" w:eastAsia="Arial" w:hAnsi="Arial"/>
                <w:sz w:val="17"/>
                <w:szCs w:val="17"/>
                <w:color w:val="auto"/>
              </w:rPr>
              <w:t>Burial</w:t>
            </w:r>
          </w:p>
        </w:tc>
        <w:tc>
          <w:tcPr>
            <w:tcW w:w="880" w:type="dxa"/>
            <w:vAlign w:val="bottom"/>
          </w:tcPr>
          <w:p>
            <w:pPr>
              <w:jc w:val="center"/>
              <w:spacing w:after="0"/>
              <w:rPr>
                <w:sz w:val="20"/>
                <w:szCs w:val="20"/>
                <w:color w:val="auto"/>
              </w:rPr>
            </w:pPr>
            <w:r>
              <w:rPr>
                <w:rFonts w:ascii="Arial" w:cs="Arial" w:eastAsia="Arial" w:hAnsi="Arial"/>
                <w:sz w:val="17"/>
                <w:szCs w:val="17"/>
                <w:color w:val="auto"/>
              </w:rPr>
              <w:t>Single-</w:t>
            </w:r>
          </w:p>
        </w:tc>
        <w:tc>
          <w:tcPr>
            <w:tcW w:w="520" w:type="dxa"/>
            <w:vAlign w:val="bottom"/>
            <w:vMerge w:val="restart"/>
          </w:tcPr>
          <w:p>
            <w:pPr>
              <w:jc w:val="center"/>
              <w:spacing w:after="0"/>
              <w:rPr>
                <w:sz w:val="20"/>
                <w:szCs w:val="20"/>
                <w:color w:val="auto"/>
              </w:rPr>
            </w:pPr>
            <w:r>
              <w:rPr>
                <w:rFonts w:ascii="Arial" w:cs="Arial" w:eastAsia="Arial" w:hAnsi="Arial"/>
                <w:sz w:val="17"/>
                <w:szCs w:val="17"/>
                <w:color w:val="auto"/>
              </w:rPr>
              <w:t>No. of</w:t>
            </w:r>
          </w:p>
        </w:tc>
        <w:tc>
          <w:tcPr>
            <w:tcW w:w="680" w:type="dxa"/>
            <w:vAlign w:val="bottom"/>
            <w:vMerge w:val="restart"/>
          </w:tcPr>
          <w:p>
            <w:pPr>
              <w:ind w:left="40"/>
              <w:spacing w:after="0"/>
              <w:rPr>
                <w:sz w:val="20"/>
                <w:szCs w:val="20"/>
                <w:color w:val="auto"/>
              </w:rPr>
            </w:pPr>
            <w:r>
              <w:rPr>
                <w:rFonts w:ascii="Arial" w:cs="Arial" w:eastAsia="Arial" w:hAnsi="Arial"/>
                <w:sz w:val="17"/>
                <w:szCs w:val="17"/>
                <w:color w:val="auto"/>
              </w:rPr>
              <w:t>TOC/%</w:t>
            </w:r>
          </w:p>
        </w:tc>
        <w:tc>
          <w:tcPr>
            <w:tcW w:w="560" w:type="dxa"/>
            <w:vAlign w:val="bottom"/>
            <w:vMerge w:val="restart"/>
          </w:tcPr>
          <w:p>
            <w:pPr>
              <w:ind w:left="80"/>
              <w:spacing w:after="0"/>
              <w:rPr>
                <w:sz w:val="20"/>
                <w:szCs w:val="20"/>
                <w:color w:val="auto"/>
              </w:rPr>
            </w:pPr>
            <w:r>
              <w:rPr>
                <w:rFonts w:ascii="Arial" w:cs="Arial" w:eastAsia="Arial" w:hAnsi="Arial"/>
                <w:sz w:val="17"/>
                <w:szCs w:val="17"/>
                <w:color w:val="auto"/>
              </w:rPr>
              <w:t>R</w:t>
            </w:r>
            <w:r>
              <w:rPr>
                <w:rFonts w:ascii="Arial" w:cs="Arial" w:eastAsia="Arial" w:hAnsi="Arial"/>
                <w:sz w:val="11"/>
                <w:szCs w:val="11"/>
                <w:color w:val="auto"/>
              </w:rPr>
              <w:t>o</w:t>
            </w:r>
            <w:r>
              <w:rPr>
                <w:rFonts w:ascii="Arial" w:cs="Arial" w:eastAsia="Arial" w:hAnsi="Arial"/>
                <w:sz w:val="17"/>
                <w:szCs w:val="17"/>
                <w:color w:val="auto"/>
              </w:rPr>
              <w:t>/%</w:t>
            </w:r>
          </w:p>
        </w:tc>
        <w:tc>
          <w:tcPr>
            <w:tcW w:w="1400" w:type="dxa"/>
            <w:vAlign w:val="bottom"/>
            <w:gridSpan w:val="2"/>
            <w:vMerge w:val="restart"/>
          </w:tcPr>
          <w:p>
            <w:pPr>
              <w:ind w:left="80"/>
              <w:spacing w:after="0"/>
              <w:rPr>
                <w:sz w:val="20"/>
                <w:szCs w:val="20"/>
                <w:color w:val="auto"/>
              </w:rPr>
            </w:pPr>
            <w:r>
              <w:rPr>
                <w:rFonts w:ascii="Arial" w:cs="Arial" w:eastAsia="Arial" w:hAnsi="Arial"/>
                <w:sz w:val="17"/>
                <w:szCs w:val="17"/>
                <w:color w:val="auto"/>
              </w:rPr>
              <w:t>Poros- Pressure</w:t>
            </w:r>
          </w:p>
        </w:tc>
        <w:tc>
          <w:tcPr>
            <w:tcW w:w="820" w:type="dxa"/>
            <w:vAlign w:val="bottom"/>
          </w:tcPr>
          <w:p>
            <w:pPr>
              <w:jc w:val="center"/>
              <w:spacing w:after="0"/>
              <w:rPr>
                <w:sz w:val="20"/>
                <w:szCs w:val="20"/>
                <w:color w:val="auto"/>
              </w:rPr>
            </w:pPr>
            <w:r>
              <w:rPr>
                <w:rFonts w:ascii="Arial" w:cs="Arial" w:eastAsia="Arial" w:hAnsi="Arial"/>
                <w:sz w:val="17"/>
                <w:szCs w:val="17"/>
                <w:color w:val="auto"/>
                <w:w w:val="99"/>
              </w:rPr>
              <w:t>Stress</w:t>
            </w:r>
          </w:p>
        </w:tc>
        <w:tc>
          <w:tcPr>
            <w:tcW w:w="0" w:type="dxa"/>
            <w:vAlign w:val="bottom"/>
          </w:tcPr>
          <w:p>
            <w:pPr>
              <w:spacing w:after="0"/>
              <w:rPr>
                <w:sz w:val="1"/>
                <w:szCs w:val="1"/>
                <w:color w:val="auto"/>
              </w:rPr>
            </w:pPr>
          </w:p>
        </w:tc>
      </w:tr>
      <w:tr>
        <w:trPr>
          <w:trHeight w:val="176"/>
        </w:trPr>
        <w:tc>
          <w:tcPr>
            <w:tcW w:w="740" w:type="dxa"/>
            <w:vAlign w:val="bottom"/>
            <w:vMerge w:val="continue"/>
          </w:tcPr>
          <w:p>
            <w:pPr>
              <w:spacing w:after="0"/>
              <w:rPr>
                <w:sz w:val="15"/>
                <w:szCs w:val="15"/>
                <w:color w:val="auto"/>
              </w:rPr>
            </w:pPr>
          </w:p>
        </w:tc>
        <w:tc>
          <w:tcPr>
            <w:tcW w:w="1120" w:type="dxa"/>
            <w:vAlign w:val="bottom"/>
            <w:vMerge w:val="continue"/>
          </w:tcPr>
          <w:p>
            <w:pPr>
              <w:spacing w:after="0"/>
              <w:rPr>
                <w:sz w:val="15"/>
                <w:szCs w:val="15"/>
                <w:color w:val="auto"/>
              </w:rPr>
            </w:pPr>
          </w:p>
        </w:tc>
        <w:tc>
          <w:tcPr>
            <w:tcW w:w="1080" w:type="dxa"/>
            <w:vAlign w:val="bottom"/>
            <w:vMerge w:val="continue"/>
          </w:tcPr>
          <w:p>
            <w:pPr>
              <w:spacing w:after="0"/>
              <w:rPr>
                <w:sz w:val="15"/>
                <w:szCs w:val="15"/>
                <w:color w:val="auto"/>
              </w:rPr>
            </w:pPr>
          </w:p>
        </w:tc>
        <w:tc>
          <w:tcPr>
            <w:tcW w:w="980" w:type="dxa"/>
            <w:vAlign w:val="bottom"/>
            <w:vMerge w:val="continue"/>
          </w:tcPr>
          <w:p>
            <w:pPr>
              <w:spacing w:after="0"/>
              <w:rPr>
                <w:sz w:val="15"/>
                <w:szCs w:val="15"/>
                <w:color w:val="auto"/>
              </w:rPr>
            </w:pPr>
          </w:p>
        </w:tc>
        <w:tc>
          <w:tcPr>
            <w:tcW w:w="900" w:type="dxa"/>
            <w:vAlign w:val="bottom"/>
            <w:vMerge w:val="continue"/>
          </w:tcPr>
          <w:p>
            <w:pPr>
              <w:spacing w:after="0"/>
              <w:rPr>
                <w:sz w:val="15"/>
                <w:szCs w:val="15"/>
                <w:color w:val="auto"/>
              </w:rPr>
            </w:pPr>
          </w:p>
        </w:tc>
        <w:tc>
          <w:tcPr>
            <w:tcW w:w="880" w:type="dxa"/>
            <w:vAlign w:val="bottom"/>
          </w:tcPr>
          <w:p>
            <w:pPr>
              <w:jc w:val="center"/>
              <w:spacing w:after="0" w:line="176" w:lineRule="exact"/>
              <w:rPr>
                <w:sz w:val="20"/>
                <w:szCs w:val="20"/>
                <w:color w:val="auto"/>
              </w:rPr>
            </w:pPr>
            <w:r>
              <w:rPr>
                <w:rFonts w:ascii="Arial" w:cs="Arial" w:eastAsia="Arial" w:hAnsi="Arial"/>
                <w:sz w:val="17"/>
                <w:szCs w:val="17"/>
                <w:color w:val="auto"/>
                <w:w w:val="99"/>
              </w:rPr>
              <w:t>layer thick-</w:t>
            </w:r>
          </w:p>
        </w:tc>
        <w:tc>
          <w:tcPr>
            <w:tcW w:w="520" w:type="dxa"/>
            <w:vAlign w:val="bottom"/>
            <w:vMerge w:val="continue"/>
          </w:tcPr>
          <w:p>
            <w:pPr>
              <w:spacing w:after="0"/>
              <w:rPr>
                <w:sz w:val="15"/>
                <w:szCs w:val="15"/>
                <w:color w:val="auto"/>
              </w:rPr>
            </w:pPr>
          </w:p>
        </w:tc>
        <w:tc>
          <w:tcPr>
            <w:tcW w:w="680" w:type="dxa"/>
            <w:vAlign w:val="bottom"/>
            <w:vMerge w:val="continue"/>
          </w:tcPr>
          <w:p>
            <w:pPr>
              <w:spacing w:after="0"/>
              <w:rPr>
                <w:sz w:val="15"/>
                <w:szCs w:val="15"/>
                <w:color w:val="auto"/>
              </w:rPr>
            </w:pPr>
          </w:p>
        </w:tc>
        <w:tc>
          <w:tcPr>
            <w:tcW w:w="560" w:type="dxa"/>
            <w:vAlign w:val="bottom"/>
            <w:vMerge w:val="continue"/>
          </w:tcPr>
          <w:p>
            <w:pPr>
              <w:spacing w:after="0"/>
              <w:rPr>
                <w:sz w:val="15"/>
                <w:szCs w:val="15"/>
                <w:color w:val="auto"/>
              </w:rPr>
            </w:pPr>
          </w:p>
        </w:tc>
        <w:tc>
          <w:tcPr>
            <w:tcW w:w="1400" w:type="dxa"/>
            <w:vAlign w:val="bottom"/>
            <w:gridSpan w:val="2"/>
            <w:vMerge w:val="continue"/>
          </w:tcPr>
          <w:p>
            <w:pPr>
              <w:spacing w:after="0"/>
              <w:rPr>
                <w:sz w:val="15"/>
                <w:szCs w:val="15"/>
                <w:color w:val="auto"/>
              </w:rPr>
            </w:pPr>
          </w:p>
        </w:tc>
        <w:tc>
          <w:tcPr>
            <w:tcW w:w="820" w:type="dxa"/>
            <w:vAlign w:val="bottom"/>
          </w:tcPr>
          <w:p>
            <w:pPr>
              <w:jc w:val="center"/>
              <w:spacing w:after="0" w:line="176" w:lineRule="exact"/>
              <w:rPr>
                <w:sz w:val="20"/>
                <w:szCs w:val="20"/>
                <w:color w:val="auto"/>
              </w:rPr>
            </w:pPr>
            <w:r>
              <w:rPr>
                <w:rFonts w:ascii="Arial" w:cs="Arial" w:eastAsia="Arial" w:hAnsi="Arial"/>
                <w:sz w:val="17"/>
                <w:szCs w:val="17"/>
                <w:color w:val="auto"/>
                <w:w w:val="98"/>
              </w:rPr>
              <w:t>difference/</w:t>
            </w:r>
          </w:p>
        </w:tc>
        <w:tc>
          <w:tcPr>
            <w:tcW w:w="0" w:type="dxa"/>
            <w:vAlign w:val="bottom"/>
          </w:tcPr>
          <w:p>
            <w:pPr>
              <w:spacing w:after="0"/>
              <w:rPr>
                <w:sz w:val="1"/>
                <w:szCs w:val="1"/>
                <w:color w:val="auto"/>
              </w:rPr>
            </w:pPr>
          </w:p>
        </w:tc>
      </w:tr>
      <w:tr>
        <w:trPr>
          <w:trHeight w:val="196"/>
        </w:trPr>
        <w:tc>
          <w:tcPr>
            <w:tcW w:w="740" w:type="dxa"/>
            <w:vAlign w:val="bottom"/>
          </w:tcPr>
          <w:p>
            <w:pPr>
              <w:jc w:val="center"/>
              <w:spacing w:after="0"/>
              <w:rPr>
                <w:sz w:val="20"/>
                <w:szCs w:val="20"/>
                <w:color w:val="auto"/>
              </w:rPr>
            </w:pPr>
            <w:r>
              <w:rPr>
                <w:rFonts w:ascii="Arial" w:cs="Arial" w:eastAsia="Arial" w:hAnsi="Arial"/>
                <w:sz w:val="17"/>
                <w:szCs w:val="17"/>
                <w:color w:val="auto"/>
                <w:w w:val="98"/>
              </w:rPr>
              <w:t>Basin</w:t>
            </w:r>
          </w:p>
        </w:tc>
        <w:tc>
          <w:tcPr>
            <w:tcW w:w="1120" w:type="dxa"/>
            <w:vAlign w:val="bottom"/>
          </w:tcPr>
          <w:p>
            <w:pPr>
              <w:jc w:val="center"/>
              <w:spacing w:after="0"/>
              <w:rPr>
                <w:sz w:val="20"/>
                <w:szCs w:val="20"/>
                <w:color w:val="auto"/>
              </w:rPr>
            </w:pPr>
            <w:r>
              <w:rPr>
                <w:rFonts w:ascii="Arial" w:cs="Arial" w:eastAsia="Arial" w:hAnsi="Arial"/>
                <w:sz w:val="17"/>
                <w:szCs w:val="17"/>
                <w:color w:val="auto"/>
                <w:w w:val="99"/>
              </w:rPr>
              <w:t>bearing layer</w:t>
            </w:r>
          </w:p>
        </w:tc>
        <w:tc>
          <w:tcPr>
            <w:tcW w:w="1080" w:type="dxa"/>
            <w:vAlign w:val="bottom"/>
          </w:tcPr>
          <w:p>
            <w:pPr>
              <w:jc w:val="center"/>
              <w:spacing w:after="0"/>
              <w:rPr>
                <w:sz w:val="20"/>
                <w:szCs w:val="20"/>
                <w:color w:val="auto"/>
              </w:rPr>
            </w:pPr>
            <w:r>
              <w:rPr>
                <w:rFonts w:ascii="Arial" w:cs="Arial" w:eastAsia="Arial" w:hAnsi="Arial"/>
                <w:sz w:val="17"/>
                <w:szCs w:val="17"/>
                <w:color w:val="auto"/>
                <w:w w:val="98"/>
              </w:rPr>
              <w:t>age</w:t>
            </w:r>
          </w:p>
        </w:tc>
        <w:tc>
          <w:tcPr>
            <w:tcW w:w="980" w:type="dxa"/>
            <w:vAlign w:val="bottom"/>
          </w:tcPr>
          <w:p>
            <w:pPr>
              <w:jc w:val="center"/>
              <w:spacing w:after="0"/>
              <w:rPr>
                <w:sz w:val="20"/>
                <w:szCs w:val="20"/>
                <w:color w:val="auto"/>
              </w:rPr>
            </w:pPr>
            <w:r>
              <w:rPr>
                <w:rFonts w:ascii="Arial" w:cs="Arial" w:eastAsia="Arial" w:hAnsi="Arial"/>
                <w:sz w:val="17"/>
                <w:szCs w:val="17"/>
                <w:color w:val="auto"/>
                <w:w w:val="96"/>
              </w:rPr>
              <w:t>environment</w:t>
            </w:r>
          </w:p>
        </w:tc>
        <w:tc>
          <w:tcPr>
            <w:tcW w:w="900" w:type="dxa"/>
            <w:vAlign w:val="bottom"/>
          </w:tcPr>
          <w:p>
            <w:pPr>
              <w:jc w:val="center"/>
              <w:spacing w:after="0"/>
              <w:rPr>
                <w:sz w:val="20"/>
                <w:szCs w:val="20"/>
                <w:color w:val="auto"/>
              </w:rPr>
            </w:pPr>
            <w:r>
              <w:rPr>
                <w:rFonts w:ascii="Arial" w:cs="Arial" w:eastAsia="Arial" w:hAnsi="Arial"/>
                <w:sz w:val="17"/>
                <w:szCs w:val="17"/>
                <w:color w:val="auto"/>
              </w:rPr>
              <w:t>depth/m</w:t>
            </w:r>
          </w:p>
        </w:tc>
        <w:tc>
          <w:tcPr>
            <w:tcW w:w="880" w:type="dxa"/>
            <w:vAlign w:val="bottom"/>
            <w:vMerge w:val="restart"/>
          </w:tcPr>
          <w:p>
            <w:pPr>
              <w:jc w:val="center"/>
              <w:spacing w:after="0"/>
              <w:rPr>
                <w:sz w:val="20"/>
                <w:szCs w:val="20"/>
                <w:color w:val="auto"/>
              </w:rPr>
            </w:pPr>
            <w:r>
              <w:rPr>
                <w:rFonts w:ascii="Arial" w:cs="Arial" w:eastAsia="Arial" w:hAnsi="Arial"/>
                <w:sz w:val="17"/>
                <w:szCs w:val="17"/>
                <w:color w:val="auto"/>
              </w:rPr>
              <w:t>ness/m</w:t>
            </w:r>
          </w:p>
        </w:tc>
        <w:tc>
          <w:tcPr>
            <w:tcW w:w="520" w:type="dxa"/>
            <w:vAlign w:val="bottom"/>
          </w:tcPr>
          <w:p>
            <w:pPr>
              <w:jc w:val="center"/>
              <w:spacing w:after="0"/>
              <w:rPr>
                <w:sz w:val="20"/>
                <w:szCs w:val="20"/>
                <w:color w:val="auto"/>
              </w:rPr>
            </w:pPr>
            <w:r>
              <w:rPr>
                <w:rFonts w:ascii="Arial" w:cs="Arial" w:eastAsia="Arial" w:hAnsi="Arial"/>
                <w:sz w:val="17"/>
                <w:szCs w:val="17"/>
                <w:color w:val="auto"/>
              </w:rPr>
              <w:t>layers</w:t>
            </w:r>
          </w:p>
        </w:tc>
        <w:tc>
          <w:tcPr>
            <w:tcW w:w="68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560" w:type="dxa"/>
            <w:vAlign w:val="bottom"/>
          </w:tcPr>
          <w:p>
            <w:pPr>
              <w:ind w:left="140"/>
              <w:spacing w:after="0"/>
              <w:rPr>
                <w:sz w:val="20"/>
                <w:szCs w:val="20"/>
                <w:color w:val="auto"/>
              </w:rPr>
            </w:pPr>
            <w:r>
              <w:rPr>
                <w:rFonts w:ascii="Arial" w:cs="Arial" w:eastAsia="Arial" w:hAnsi="Arial"/>
                <w:sz w:val="17"/>
                <w:szCs w:val="17"/>
                <w:color w:val="auto"/>
              </w:rPr>
              <w:t>ity/%</w:t>
            </w:r>
          </w:p>
        </w:tc>
        <w:tc>
          <w:tcPr>
            <w:tcW w:w="840" w:type="dxa"/>
            <w:vAlign w:val="bottom"/>
          </w:tcPr>
          <w:p>
            <w:pPr>
              <w:ind w:left="80"/>
              <w:spacing w:after="0"/>
              <w:rPr>
                <w:sz w:val="20"/>
                <w:szCs w:val="20"/>
                <w:color w:val="auto"/>
              </w:rPr>
            </w:pPr>
            <w:r>
              <w:rPr>
                <w:rFonts w:ascii="Arial" w:cs="Arial" w:eastAsia="Arial" w:hAnsi="Arial"/>
                <w:sz w:val="17"/>
                <w:szCs w:val="17"/>
                <w:color w:val="auto"/>
                <w:w w:val="96"/>
              </w:rPr>
              <w:t>coefficient</w:t>
            </w:r>
          </w:p>
        </w:tc>
        <w:tc>
          <w:tcPr>
            <w:tcW w:w="820" w:type="dxa"/>
            <w:vAlign w:val="bottom"/>
            <w:vMerge w:val="restart"/>
          </w:tcPr>
          <w:p>
            <w:pPr>
              <w:jc w:val="center"/>
              <w:spacing w:after="0"/>
              <w:rPr>
                <w:sz w:val="20"/>
                <w:szCs w:val="20"/>
                <w:color w:val="auto"/>
              </w:rPr>
            </w:pPr>
            <w:r>
              <w:rPr>
                <w:rFonts w:ascii="Arial" w:cs="Arial" w:eastAsia="Arial" w:hAnsi="Arial"/>
                <w:sz w:val="17"/>
                <w:szCs w:val="17"/>
                <w:color w:val="auto"/>
                <w:w w:val="97"/>
              </w:rPr>
              <w:t>MPa</w:t>
            </w:r>
          </w:p>
        </w:tc>
        <w:tc>
          <w:tcPr>
            <w:tcW w:w="0" w:type="dxa"/>
            <w:vAlign w:val="bottom"/>
          </w:tcPr>
          <w:p>
            <w:pPr>
              <w:spacing w:after="0"/>
              <w:rPr>
                <w:sz w:val="1"/>
                <w:szCs w:val="1"/>
                <w:color w:val="auto"/>
              </w:rPr>
            </w:pPr>
          </w:p>
        </w:tc>
      </w:tr>
      <w:tr>
        <w:trPr>
          <w:trHeight w:val="54"/>
        </w:trPr>
        <w:tc>
          <w:tcPr>
            <w:tcW w:w="740" w:type="dxa"/>
            <w:vAlign w:val="bottom"/>
            <w:vMerge w:val="restart"/>
          </w:tcPr>
          <w:p>
            <w:pPr>
              <w:jc w:val="center"/>
              <w:spacing w:after="0"/>
              <w:rPr>
                <w:sz w:val="20"/>
                <w:szCs w:val="20"/>
                <w:color w:val="auto"/>
              </w:rPr>
            </w:pPr>
            <w:r>
              <w:rPr>
                <w:rFonts w:ascii="Arial" w:cs="Arial" w:eastAsia="Arial" w:hAnsi="Arial"/>
                <w:sz w:val="17"/>
                <w:szCs w:val="17"/>
                <w:color w:val="auto"/>
                <w:w w:val="98"/>
              </w:rPr>
              <w:t>Hayne-</w:t>
            </w:r>
          </w:p>
        </w:tc>
        <w:tc>
          <w:tcPr>
            <w:tcW w:w="1120" w:type="dxa"/>
            <w:vAlign w:val="bottom"/>
            <w:vMerge w:val="restart"/>
          </w:tcPr>
          <w:p>
            <w:pPr>
              <w:jc w:val="center"/>
              <w:spacing w:after="0"/>
              <w:rPr>
                <w:sz w:val="20"/>
                <w:szCs w:val="20"/>
                <w:color w:val="auto"/>
              </w:rPr>
            </w:pPr>
            <w:r>
              <w:rPr>
                <w:rFonts w:ascii="Arial" w:cs="Arial" w:eastAsia="Arial" w:hAnsi="Arial"/>
                <w:sz w:val="17"/>
                <w:szCs w:val="17"/>
                <w:color w:val="auto"/>
              </w:rPr>
              <w:t>Haynesvile</w:t>
            </w:r>
          </w:p>
        </w:tc>
        <w:tc>
          <w:tcPr>
            <w:tcW w:w="1080" w:type="dxa"/>
            <w:vAlign w:val="bottom"/>
          </w:tcPr>
          <w:p>
            <w:pPr>
              <w:spacing w:after="0"/>
              <w:rPr>
                <w:sz w:val="4"/>
                <w:szCs w:val="4"/>
                <w:color w:val="auto"/>
              </w:rPr>
            </w:pPr>
          </w:p>
        </w:tc>
        <w:tc>
          <w:tcPr>
            <w:tcW w:w="980" w:type="dxa"/>
            <w:vAlign w:val="bottom"/>
            <w:vMerge w:val="restart"/>
          </w:tcPr>
          <w:p>
            <w:pPr>
              <w:jc w:val="center"/>
              <w:spacing w:after="0"/>
              <w:rPr>
                <w:sz w:val="20"/>
                <w:szCs w:val="20"/>
                <w:color w:val="auto"/>
              </w:rPr>
            </w:pPr>
            <w:r>
              <w:rPr>
                <w:rFonts w:ascii="Arial" w:cs="Arial" w:eastAsia="Arial" w:hAnsi="Arial"/>
                <w:sz w:val="17"/>
                <w:szCs w:val="17"/>
                <w:color w:val="auto"/>
              </w:rPr>
              <w:t>Deep-water</w:t>
            </w:r>
          </w:p>
        </w:tc>
        <w:tc>
          <w:tcPr>
            <w:tcW w:w="900" w:type="dxa"/>
            <w:vAlign w:val="bottom"/>
          </w:tcPr>
          <w:p>
            <w:pPr>
              <w:spacing w:after="0"/>
              <w:rPr>
                <w:sz w:val="4"/>
                <w:szCs w:val="4"/>
                <w:color w:val="auto"/>
              </w:rPr>
            </w:pPr>
          </w:p>
        </w:tc>
        <w:tc>
          <w:tcPr>
            <w:tcW w:w="880" w:type="dxa"/>
            <w:vAlign w:val="bottom"/>
            <w:vMerge w:val="continue"/>
          </w:tcPr>
          <w:p>
            <w:pPr>
              <w:spacing w:after="0"/>
              <w:rPr>
                <w:sz w:val="4"/>
                <w:szCs w:val="4"/>
                <w:color w:val="auto"/>
              </w:rPr>
            </w:pPr>
          </w:p>
        </w:tc>
        <w:tc>
          <w:tcPr>
            <w:tcW w:w="520" w:type="dxa"/>
            <w:vAlign w:val="bottom"/>
          </w:tcPr>
          <w:p>
            <w:pPr>
              <w:spacing w:after="0"/>
              <w:rPr>
                <w:sz w:val="4"/>
                <w:szCs w:val="4"/>
                <w:color w:val="auto"/>
              </w:rPr>
            </w:pPr>
          </w:p>
        </w:tc>
        <w:tc>
          <w:tcPr>
            <w:tcW w:w="680" w:type="dxa"/>
            <w:vAlign w:val="bottom"/>
          </w:tcPr>
          <w:p>
            <w:pPr>
              <w:spacing w:after="0"/>
              <w:rPr>
                <w:sz w:val="4"/>
                <w:szCs w:val="4"/>
                <w:color w:val="auto"/>
              </w:rPr>
            </w:pPr>
          </w:p>
        </w:tc>
        <w:tc>
          <w:tcPr>
            <w:tcW w:w="560" w:type="dxa"/>
            <w:vAlign w:val="bottom"/>
            <w:vMerge w:val="restart"/>
          </w:tcPr>
          <w:p>
            <w:pPr>
              <w:jc w:val="center"/>
              <w:spacing w:after="0"/>
              <w:rPr>
                <w:sz w:val="20"/>
                <w:szCs w:val="20"/>
                <w:color w:val="auto"/>
              </w:rPr>
            </w:pPr>
            <w:r>
              <w:rPr>
                <w:rFonts w:ascii="Arial" w:cs="Arial" w:eastAsia="Arial" w:hAnsi="Arial"/>
                <w:sz w:val="17"/>
                <w:szCs w:val="17"/>
                <w:color w:val="auto"/>
              </w:rPr>
              <w:t>1.80–</w:t>
            </w:r>
          </w:p>
        </w:tc>
        <w:tc>
          <w:tcPr>
            <w:tcW w:w="560" w:type="dxa"/>
            <w:vAlign w:val="bottom"/>
            <w:vMerge w:val="restart"/>
          </w:tcPr>
          <w:p>
            <w:pPr>
              <w:jc w:val="center"/>
              <w:ind w:left="1"/>
              <w:spacing w:after="0"/>
              <w:rPr>
                <w:sz w:val="20"/>
                <w:szCs w:val="20"/>
                <w:color w:val="auto"/>
              </w:rPr>
            </w:pPr>
            <w:r>
              <w:rPr>
                <w:rFonts w:ascii="Arial" w:cs="Arial" w:eastAsia="Arial" w:hAnsi="Arial"/>
                <w:sz w:val="17"/>
                <w:szCs w:val="17"/>
                <w:color w:val="auto"/>
                <w:w w:val="96"/>
              </w:rPr>
              <w:t>8.0–</w:t>
            </w:r>
          </w:p>
        </w:tc>
        <w:tc>
          <w:tcPr>
            <w:tcW w:w="840" w:type="dxa"/>
            <w:vAlign w:val="bottom"/>
            <w:vMerge w:val="restart"/>
          </w:tcPr>
          <w:p>
            <w:pPr>
              <w:jc w:val="center"/>
              <w:spacing w:after="0"/>
              <w:rPr>
                <w:sz w:val="20"/>
                <w:szCs w:val="20"/>
                <w:color w:val="auto"/>
              </w:rPr>
            </w:pPr>
            <w:r>
              <w:rPr>
                <w:rFonts w:ascii="Arial" w:cs="Arial" w:eastAsia="Arial" w:hAnsi="Arial"/>
                <w:sz w:val="17"/>
                <w:szCs w:val="17"/>
                <w:color w:val="auto"/>
              </w:rPr>
              <w:t>1.60–</w:t>
            </w:r>
          </w:p>
        </w:tc>
        <w:tc>
          <w:tcPr>
            <w:tcW w:w="8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48"/>
        </w:trPr>
        <w:tc>
          <w:tcPr>
            <w:tcW w:w="740" w:type="dxa"/>
            <w:vAlign w:val="bottom"/>
            <w:vMerge w:val="continue"/>
          </w:tcPr>
          <w:p>
            <w:pPr>
              <w:spacing w:after="0"/>
              <w:rPr>
                <w:sz w:val="21"/>
                <w:szCs w:val="21"/>
                <w:color w:val="auto"/>
              </w:rPr>
            </w:pPr>
          </w:p>
        </w:tc>
        <w:tc>
          <w:tcPr>
            <w:tcW w:w="1120" w:type="dxa"/>
            <w:vAlign w:val="bottom"/>
            <w:vMerge w:val="continue"/>
          </w:tcPr>
          <w:p>
            <w:pPr>
              <w:spacing w:after="0"/>
              <w:rPr>
                <w:sz w:val="21"/>
                <w:szCs w:val="21"/>
                <w:color w:val="auto"/>
              </w:rPr>
            </w:pPr>
          </w:p>
        </w:tc>
        <w:tc>
          <w:tcPr>
            <w:tcW w:w="1080" w:type="dxa"/>
            <w:vAlign w:val="bottom"/>
          </w:tcPr>
          <w:p>
            <w:pPr>
              <w:jc w:val="center"/>
              <w:spacing w:after="0"/>
              <w:rPr>
                <w:sz w:val="20"/>
                <w:szCs w:val="20"/>
                <w:color w:val="auto"/>
              </w:rPr>
            </w:pPr>
            <w:r>
              <w:rPr>
                <w:rFonts w:ascii="Arial" w:cs="Arial" w:eastAsia="Arial" w:hAnsi="Arial"/>
                <w:sz w:val="17"/>
                <w:szCs w:val="17"/>
                <w:color w:val="auto"/>
                <w:w w:val="99"/>
              </w:rPr>
              <w:t>Jurassic</w:t>
            </w:r>
          </w:p>
        </w:tc>
        <w:tc>
          <w:tcPr>
            <w:tcW w:w="980" w:type="dxa"/>
            <w:vAlign w:val="bottom"/>
            <w:vMerge w:val="continue"/>
          </w:tcPr>
          <w:p>
            <w:pPr>
              <w:spacing w:after="0"/>
              <w:rPr>
                <w:sz w:val="21"/>
                <w:szCs w:val="21"/>
                <w:color w:val="auto"/>
              </w:rPr>
            </w:pPr>
          </w:p>
        </w:tc>
        <w:tc>
          <w:tcPr>
            <w:tcW w:w="900" w:type="dxa"/>
            <w:vAlign w:val="bottom"/>
          </w:tcPr>
          <w:p>
            <w:pPr>
              <w:jc w:val="center"/>
              <w:spacing w:after="0"/>
              <w:rPr>
                <w:sz w:val="20"/>
                <w:szCs w:val="20"/>
                <w:color w:val="auto"/>
              </w:rPr>
            </w:pPr>
            <w:r>
              <w:rPr>
                <w:rFonts w:ascii="Arial" w:cs="Arial" w:eastAsia="Arial" w:hAnsi="Arial"/>
                <w:sz w:val="17"/>
                <w:szCs w:val="17"/>
                <w:color w:val="auto"/>
                <w:w w:val="96"/>
              </w:rPr>
              <w:t>3350–4270</w:t>
            </w:r>
          </w:p>
        </w:tc>
        <w:tc>
          <w:tcPr>
            <w:tcW w:w="880" w:type="dxa"/>
            <w:vAlign w:val="bottom"/>
          </w:tcPr>
          <w:p>
            <w:pPr>
              <w:jc w:val="center"/>
              <w:spacing w:after="0"/>
              <w:rPr>
                <w:sz w:val="20"/>
                <w:szCs w:val="20"/>
                <w:color w:val="auto"/>
              </w:rPr>
            </w:pPr>
            <w:r>
              <w:rPr>
                <w:rFonts w:ascii="Arial" w:cs="Arial" w:eastAsia="Arial" w:hAnsi="Arial"/>
                <w:sz w:val="17"/>
                <w:szCs w:val="17"/>
                <w:color w:val="auto"/>
                <w:w w:val="98"/>
              </w:rPr>
              <w:t>61–107</w:t>
            </w:r>
          </w:p>
        </w:tc>
        <w:tc>
          <w:tcPr>
            <w:tcW w:w="520" w:type="dxa"/>
            <w:vAlign w:val="bottom"/>
          </w:tcPr>
          <w:p>
            <w:pPr>
              <w:jc w:val="center"/>
              <w:spacing w:after="0"/>
              <w:rPr>
                <w:sz w:val="20"/>
                <w:szCs w:val="20"/>
                <w:color w:val="auto"/>
              </w:rPr>
            </w:pPr>
            <w:r>
              <w:rPr>
                <w:rFonts w:ascii="Arial" w:cs="Arial" w:eastAsia="Arial" w:hAnsi="Arial"/>
                <w:sz w:val="17"/>
                <w:szCs w:val="17"/>
                <w:color w:val="auto"/>
              </w:rPr>
              <w:t>5</w:t>
            </w:r>
          </w:p>
        </w:tc>
        <w:tc>
          <w:tcPr>
            <w:tcW w:w="680" w:type="dxa"/>
            <w:vAlign w:val="bottom"/>
          </w:tcPr>
          <w:p>
            <w:pPr>
              <w:ind w:left="40"/>
              <w:spacing w:after="0"/>
              <w:rPr>
                <w:sz w:val="20"/>
                <w:szCs w:val="20"/>
                <w:color w:val="auto"/>
              </w:rPr>
            </w:pPr>
            <w:r>
              <w:rPr>
                <w:rFonts w:ascii="Arial" w:cs="Arial" w:eastAsia="Arial" w:hAnsi="Arial"/>
                <w:sz w:val="17"/>
                <w:szCs w:val="17"/>
                <w:color w:val="auto"/>
              </w:rPr>
              <w:t>0.4–4.0</w:t>
            </w:r>
          </w:p>
        </w:tc>
        <w:tc>
          <w:tcPr>
            <w:tcW w:w="560" w:type="dxa"/>
            <w:vAlign w:val="bottom"/>
            <w:vMerge w:val="continue"/>
          </w:tcPr>
          <w:p>
            <w:pPr>
              <w:spacing w:after="0"/>
              <w:rPr>
                <w:sz w:val="21"/>
                <w:szCs w:val="21"/>
                <w:color w:val="auto"/>
              </w:rPr>
            </w:pPr>
          </w:p>
        </w:tc>
        <w:tc>
          <w:tcPr>
            <w:tcW w:w="560" w:type="dxa"/>
            <w:vAlign w:val="bottom"/>
            <w:vMerge w:val="continue"/>
          </w:tcPr>
          <w:p>
            <w:pPr>
              <w:spacing w:after="0"/>
              <w:rPr>
                <w:sz w:val="21"/>
                <w:szCs w:val="21"/>
                <w:color w:val="auto"/>
              </w:rPr>
            </w:pPr>
          </w:p>
        </w:tc>
        <w:tc>
          <w:tcPr>
            <w:tcW w:w="840" w:type="dxa"/>
            <w:vAlign w:val="bottom"/>
            <w:vMerge w:val="continue"/>
          </w:tcPr>
          <w:p>
            <w:pPr>
              <w:spacing w:after="0"/>
              <w:rPr>
                <w:sz w:val="21"/>
                <w:szCs w:val="21"/>
                <w:color w:val="auto"/>
              </w:rPr>
            </w:pPr>
          </w:p>
        </w:tc>
        <w:tc>
          <w:tcPr>
            <w:tcW w:w="820" w:type="dxa"/>
            <w:vAlign w:val="bottom"/>
          </w:tcPr>
          <w:p>
            <w:pPr>
              <w:jc w:val="center"/>
              <w:spacing w:after="0"/>
              <w:rPr>
                <w:sz w:val="20"/>
                <w:szCs w:val="20"/>
                <w:color w:val="auto"/>
              </w:rPr>
            </w:pPr>
            <w:r>
              <w:rPr>
                <w:rFonts w:ascii="Arial" w:cs="Arial" w:eastAsia="Arial" w:hAnsi="Arial"/>
                <w:sz w:val="17"/>
                <w:szCs w:val="17"/>
                <w:color w:val="auto"/>
              </w:rPr>
              <w:t>4</w:t>
            </w:r>
          </w:p>
        </w:tc>
        <w:tc>
          <w:tcPr>
            <w:tcW w:w="0" w:type="dxa"/>
            <w:vAlign w:val="bottom"/>
          </w:tcPr>
          <w:p>
            <w:pPr>
              <w:spacing w:after="0"/>
              <w:rPr>
                <w:sz w:val="1"/>
                <w:szCs w:val="1"/>
                <w:color w:val="auto"/>
              </w:rPr>
            </w:pPr>
          </w:p>
        </w:tc>
      </w:tr>
      <w:tr>
        <w:trPr>
          <w:trHeight w:val="117"/>
        </w:trPr>
        <w:tc>
          <w:tcPr>
            <w:tcW w:w="740" w:type="dxa"/>
            <w:vAlign w:val="bottom"/>
          </w:tcPr>
          <w:p>
            <w:pPr>
              <w:jc w:val="center"/>
              <w:spacing w:after="0" w:line="118" w:lineRule="exact"/>
              <w:rPr>
                <w:sz w:val="20"/>
                <w:szCs w:val="20"/>
                <w:color w:val="auto"/>
              </w:rPr>
            </w:pPr>
            <w:r>
              <w:rPr>
                <w:rFonts w:ascii="Arial" w:cs="Arial" w:eastAsia="Arial" w:hAnsi="Arial"/>
                <w:sz w:val="13"/>
                <w:szCs w:val="13"/>
                <w:color w:val="auto"/>
              </w:rPr>
              <w:t>svile</w:t>
            </w:r>
          </w:p>
        </w:tc>
        <w:tc>
          <w:tcPr>
            <w:tcW w:w="1120" w:type="dxa"/>
            <w:vAlign w:val="bottom"/>
          </w:tcPr>
          <w:p>
            <w:pPr>
              <w:jc w:val="center"/>
              <w:spacing w:after="0" w:line="118" w:lineRule="exact"/>
              <w:rPr>
                <w:sz w:val="20"/>
                <w:szCs w:val="20"/>
                <w:color w:val="auto"/>
              </w:rPr>
            </w:pPr>
            <w:r>
              <w:rPr>
                <w:rFonts w:ascii="Arial" w:cs="Arial" w:eastAsia="Arial" w:hAnsi="Arial"/>
                <w:sz w:val="13"/>
                <w:szCs w:val="13"/>
                <w:color w:val="auto"/>
              </w:rPr>
              <w:t>Fm.</w:t>
            </w:r>
          </w:p>
        </w:tc>
        <w:tc>
          <w:tcPr>
            <w:tcW w:w="1080" w:type="dxa"/>
            <w:vAlign w:val="bottom"/>
          </w:tcPr>
          <w:p>
            <w:pPr>
              <w:spacing w:after="0"/>
              <w:rPr>
                <w:sz w:val="10"/>
                <w:szCs w:val="10"/>
                <w:color w:val="auto"/>
              </w:rPr>
            </w:pPr>
          </w:p>
        </w:tc>
        <w:tc>
          <w:tcPr>
            <w:tcW w:w="980" w:type="dxa"/>
            <w:vAlign w:val="bottom"/>
          </w:tcPr>
          <w:p>
            <w:pPr>
              <w:jc w:val="center"/>
              <w:spacing w:after="0" w:line="118" w:lineRule="exact"/>
              <w:rPr>
                <w:sz w:val="20"/>
                <w:szCs w:val="20"/>
                <w:color w:val="auto"/>
              </w:rPr>
            </w:pPr>
            <w:r>
              <w:rPr>
                <w:rFonts w:ascii="Arial" w:cs="Arial" w:eastAsia="Arial" w:hAnsi="Arial"/>
                <w:sz w:val="13"/>
                <w:szCs w:val="13"/>
                <w:color w:val="auto"/>
              </w:rPr>
              <w:t>shelf</w:t>
            </w:r>
          </w:p>
        </w:tc>
        <w:tc>
          <w:tcPr>
            <w:tcW w:w="900" w:type="dxa"/>
            <w:vAlign w:val="bottom"/>
          </w:tcPr>
          <w:p>
            <w:pPr>
              <w:spacing w:after="0"/>
              <w:rPr>
                <w:sz w:val="10"/>
                <w:szCs w:val="10"/>
                <w:color w:val="auto"/>
              </w:rPr>
            </w:pPr>
          </w:p>
        </w:tc>
        <w:tc>
          <w:tcPr>
            <w:tcW w:w="88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680" w:type="dxa"/>
            <w:vAlign w:val="bottom"/>
          </w:tcPr>
          <w:p>
            <w:pPr>
              <w:spacing w:after="0"/>
              <w:rPr>
                <w:sz w:val="10"/>
                <w:szCs w:val="10"/>
                <w:color w:val="auto"/>
              </w:rPr>
            </w:pPr>
          </w:p>
        </w:tc>
        <w:tc>
          <w:tcPr>
            <w:tcW w:w="560" w:type="dxa"/>
            <w:vAlign w:val="bottom"/>
          </w:tcPr>
          <w:p>
            <w:pPr>
              <w:jc w:val="center"/>
              <w:spacing w:after="0" w:line="118" w:lineRule="exact"/>
              <w:rPr>
                <w:sz w:val="20"/>
                <w:szCs w:val="20"/>
                <w:color w:val="auto"/>
              </w:rPr>
            </w:pPr>
            <w:r>
              <w:rPr>
                <w:rFonts w:ascii="Arial" w:cs="Arial" w:eastAsia="Arial" w:hAnsi="Arial"/>
                <w:sz w:val="13"/>
                <w:szCs w:val="13"/>
                <w:color w:val="auto"/>
              </w:rPr>
              <w:t>2.50</w:t>
            </w:r>
          </w:p>
        </w:tc>
        <w:tc>
          <w:tcPr>
            <w:tcW w:w="560" w:type="dxa"/>
            <w:vAlign w:val="bottom"/>
          </w:tcPr>
          <w:p>
            <w:pPr>
              <w:jc w:val="center"/>
              <w:ind w:left="1"/>
              <w:spacing w:after="0" w:line="118" w:lineRule="exact"/>
              <w:rPr>
                <w:sz w:val="20"/>
                <w:szCs w:val="20"/>
                <w:color w:val="auto"/>
              </w:rPr>
            </w:pPr>
            <w:r>
              <w:rPr>
                <w:rFonts w:ascii="Arial" w:cs="Arial" w:eastAsia="Arial" w:hAnsi="Arial"/>
                <w:sz w:val="13"/>
                <w:szCs w:val="13"/>
                <w:color w:val="auto"/>
              </w:rPr>
              <w:t>9.0</w:t>
            </w:r>
          </w:p>
        </w:tc>
        <w:tc>
          <w:tcPr>
            <w:tcW w:w="840" w:type="dxa"/>
            <w:vAlign w:val="bottom"/>
          </w:tcPr>
          <w:p>
            <w:pPr>
              <w:jc w:val="center"/>
              <w:spacing w:after="0" w:line="118" w:lineRule="exact"/>
              <w:rPr>
                <w:sz w:val="20"/>
                <w:szCs w:val="20"/>
                <w:color w:val="auto"/>
              </w:rPr>
            </w:pPr>
            <w:r>
              <w:rPr>
                <w:rFonts w:ascii="Arial" w:cs="Arial" w:eastAsia="Arial" w:hAnsi="Arial"/>
                <w:sz w:val="13"/>
                <w:szCs w:val="13"/>
                <w:color w:val="auto"/>
              </w:rPr>
              <w:t>2.00</w:t>
            </w:r>
          </w:p>
        </w:tc>
        <w:tc>
          <w:tcPr>
            <w:tcW w:w="8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74"/>
        </w:trPr>
        <w:tc>
          <w:tcPr>
            <w:tcW w:w="740" w:type="dxa"/>
            <w:vAlign w:val="bottom"/>
          </w:tcPr>
          <w:p>
            <w:pPr>
              <w:jc w:val="center"/>
              <w:spacing w:after="0"/>
              <w:rPr>
                <w:sz w:val="20"/>
                <w:szCs w:val="20"/>
                <w:color w:val="auto"/>
              </w:rPr>
            </w:pPr>
            <w:r>
              <w:rPr>
                <w:rFonts w:ascii="Arial" w:cs="Arial" w:eastAsia="Arial" w:hAnsi="Arial"/>
                <w:sz w:val="17"/>
                <w:szCs w:val="17"/>
                <w:color w:val="auto"/>
                <w:w w:val="98"/>
              </w:rPr>
              <w:t>Barnett</w:t>
            </w:r>
          </w:p>
        </w:tc>
        <w:tc>
          <w:tcPr>
            <w:tcW w:w="1120" w:type="dxa"/>
            <w:vAlign w:val="bottom"/>
          </w:tcPr>
          <w:p>
            <w:pPr>
              <w:jc w:val="center"/>
              <w:spacing w:after="0"/>
              <w:rPr>
                <w:sz w:val="20"/>
                <w:szCs w:val="20"/>
                <w:color w:val="auto"/>
              </w:rPr>
            </w:pPr>
            <w:r>
              <w:rPr>
                <w:rFonts w:ascii="Arial" w:cs="Arial" w:eastAsia="Arial" w:hAnsi="Arial"/>
                <w:sz w:val="17"/>
                <w:szCs w:val="17"/>
                <w:color w:val="auto"/>
                <w:w w:val="99"/>
              </w:rPr>
              <w:t>Barnett Fm.</w:t>
            </w:r>
          </w:p>
        </w:tc>
        <w:tc>
          <w:tcPr>
            <w:tcW w:w="1080" w:type="dxa"/>
            <w:vAlign w:val="bottom"/>
          </w:tcPr>
          <w:p>
            <w:pPr>
              <w:jc w:val="center"/>
              <w:spacing w:after="0"/>
              <w:rPr>
                <w:sz w:val="20"/>
                <w:szCs w:val="20"/>
                <w:color w:val="auto"/>
              </w:rPr>
            </w:pPr>
            <w:r>
              <w:rPr>
                <w:rFonts w:ascii="Arial" w:cs="Arial" w:eastAsia="Arial" w:hAnsi="Arial"/>
                <w:sz w:val="17"/>
                <w:szCs w:val="17"/>
                <w:color w:val="auto"/>
                <w:w w:val="93"/>
              </w:rPr>
              <w:t>Carboniferous</w:t>
            </w:r>
          </w:p>
        </w:tc>
        <w:tc>
          <w:tcPr>
            <w:tcW w:w="980" w:type="dxa"/>
            <w:vAlign w:val="bottom"/>
          </w:tcPr>
          <w:p>
            <w:pPr>
              <w:jc w:val="center"/>
              <w:spacing w:after="0"/>
              <w:rPr>
                <w:sz w:val="20"/>
                <w:szCs w:val="20"/>
                <w:color w:val="auto"/>
              </w:rPr>
            </w:pPr>
            <w:r>
              <w:rPr>
                <w:rFonts w:ascii="Arial" w:cs="Arial" w:eastAsia="Arial" w:hAnsi="Arial"/>
                <w:sz w:val="17"/>
                <w:szCs w:val="17"/>
                <w:color w:val="auto"/>
              </w:rPr>
              <w:t>Deep-water</w:t>
            </w:r>
          </w:p>
        </w:tc>
        <w:tc>
          <w:tcPr>
            <w:tcW w:w="900" w:type="dxa"/>
            <w:vAlign w:val="bottom"/>
          </w:tcPr>
          <w:p>
            <w:pPr>
              <w:jc w:val="center"/>
              <w:spacing w:after="0"/>
              <w:rPr>
                <w:sz w:val="20"/>
                <w:szCs w:val="20"/>
                <w:color w:val="auto"/>
              </w:rPr>
            </w:pPr>
            <w:r>
              <w:rPr>
                <w:rFonts w:ascii="Arial" w:cs="Arial" w:eastAsia="Arial" w:hAnsi="Arial"/>
                <w:sz w:val="17"/>
                <w:szCs w:val="17"/>
                <w:color w:val="auto"/>
                <w:w w:val="96"/>
              </w:rPr>
              <w:t>1980–2591</w:t>
            </w:r>
          </w:p>
        </w:tc>
        <w:tc>
          <w:tcPr>
            <w:tcW w:w="880" w:type="dxa"/>
            <w:vAlign w:val="bottom"/>
          </w:tcPr>
          <w:p>
            <w:pPr>
              <w:jc w:val="center"/>
              <w:spacing w:after="0"/>
              <w:rPr>
                <w:sz w:val="20"/>
                <w:szCs w:val="20"/>
                <w:color w:val="auto"/>
              </w:rPr>
            </w:pPr>
            <w:r>
              <w:rPr>
                <w:rFonts w:ascii="Arial" w:cs="Arial" w:eastAsia="Arial" w:hAnsi="Arial"/>
                <w:sz w:val="17"/>
                <w:szCs w:val="17"/>
                <w:color w:val="auto"/>
                <w:w w:val="98"/>
              </w:rPr>
              <w:t>30–180</w:t>
            </w:r>
          </w:p>
        </w:tc>
        <w:tc>
          <w:tcPr>
            <w:tcW w:w="520" w:type="dxa"/>
            <w:vAlign w:val="bottom"/>
          </w:tcPr>
          <w:p>
            <w:pPr>
              <w:jc w:val="center"/>
              <w:spacing w:after="0"/>
              <w:rPr>
                <w:sz w:val="20"/>
                <w:szCs w:val="20"/>
                <w:color w:val="auto"/>
              </w:rPr>
            </w:pPr>
            <w:r>
              <w:rPr>
                <w:rFonts w:ascii="Arial" w:cs="Arial" w:eastAsia="Arial" w:hAnsi="Arial"/>
                <w:sz w:val="17"/>
                <w:szCs w:val="17"/>
                <w:color w:val="auto"/>
              </w:rPr>
              <w:t>4</w:t>
            </w:r>
          </w:p>
        </w:tc>
        <w:tc>
          <w:tcPr>
            <w:tcW w:w="680" w:type="dxa"/>
            <w:vAlign w:val="bottom"/>
          </w:tcPr>
          <w:p>
            <w:pPr>
              <w:ind w:left="40"/>
              <w:spacing w:after="0"/>
              <w:rPr>
                <w:sz w:val="20"/>
                <w:szCs w:val="20"/>
                <w:color w:val="auto"/>
              </w:rPr>
            </w:pPr>
            <w:r>
              <w:rPr>
                <w:rFonts w:ascii="Arial" w:cs="Arial" w:eastAsia="Arial" w:hAnsi="Arial"/>
                <w:sz w:val="17"/>
                <w:szCs w:val="17"/>
                <w:color w:val="auto"/>
              </w:rPr>
              <w:t>4.0–5.0</w:t>
            </w:r>
          </w:p>
        </w:tc>
        <w:tc>
          <w:tcPr>
            <w:tcW w:w="560" w:type="dxa"/>
            <w:vAlign w:val="bottom"/>
          </w:tcPr>
          <w:p>
            <w:pPr>
              <w:jc w:val="center"/>
              <w:spacing w:after="0"/>
              <w:rPr>
                <w:sz w:val="20"/>
                <w:szCs w:val="20"/>
                <w:color w:val="auto"/>
              </w:rPr>
            </w:pPr>
            <w:r>
              <w:rPr>
                <w:rFonts w:ascii="Arial" w:cs="Arial" w:eastAsia="Arial" w:hAnsi="Arial"/>
                <w:sz w:val="17"/>
                <w:szCs w:val="17"/>
                <w:color w:val="auto"/>
              </w:rPr>
              <w:t>0.80–</w:t>
            </w:r>
          </w:p>
        </w:tc>
        <w:tc>
          <w:tcPr>
            <w:tcW w:w="560" w:type="dxa"/>
            <w:vAlign w:val="bottom"/>
          </w:tcPr>
          <w:p>
            <w:pPr>
              <w:jc w:val="center"/>
              <w:ind w:left="1"/>
              <w:spacing w:after="0"/>
              <w:rPr>
                <w:sz w:val="20"/>
                <w:szCs w:val="20"/>
                <w:color w:val="auto"/>
              </w:rPr>
            </w:pPr>
            <w:r>
              <w:rPr>
                <w:rFonts w:ascii="Arial" w:cs="Arial" w:eastAsia="Arial" w:hAnsi="Arial"/>
                <w:sz w:val="17"/>
                <w:szCs w:val="17"/>
                <w:color w:val="auto"/>
                <w:w w:val="96"/>
              </w:rPr>
              <w:t>4.0–</w:t>
            </w:r>
          </w:p>
        </w:tc>
        <w:tc>
          <w:tcPr>
            <w:tcW w:w="840" w:type="dxa"/>
            <w:vAlign w:val="bottom"/>
          </w:tcPr>
          <w:p>
            <w:pPr>
              <w:jc w:val="center"/>
              <w:spacing w:after="0"/>
              <w:rPr>
                <w:sz w:val="20"/>
                <w:szCs w:val="20"/>
                <w:color w:val="auto"/>
              </w:rPr>
            </w:pPr>
            <w:r>
              <w:rPr>
                <w:rFonts w:ascii="Arial" w:cs="Arial" w:eastAsia="Arial" w:hAnsi="Arial"/>
                <w:sz w:val="17"/>
                <w:szCs w:val="17"/>
                <w:color w:val="auto"/>
              </w:rPr>
              <w:t>0.90–</w:t>
            </w:r>
          </w:p>
        </w:tc>
        <w:tc>
          <w:tcPr>
            <w:tcW w:w="820" w:type="dxa"/>
            <w:vAlign w:val="bottom"/>
          </w:tcPr>
          <w:p>
            <w:pPr>
              <w:jc w:val="center"/>
              <w:spacing w:after="0"/>
              <w:rPr>
                <w:sz w:val="20"/>
                <w:szCs w:val="20"/>
                <w:color w:val="auto"/>
              </w:rPr>
            </w:pPr>
            <w:r>
              <w:rPr>
                <w:rFonts w:ascii="Arial" w:cs="Arial" w:eastAsia="Arial" w:hAnsi="Arial"/>
                <w:sz w:val="17"/>
                <w:szCs w:val="17"/>
                <w:color w:val="auto"/>
                <w:w w:val="94"/>
              </w:rPr>
              <w:t>10</w:t>
            </w:r>
          </w:p>
        </w:tc>
        <w:tc>
          <w:tcPr>
            <w:tcW w:w="0" w:type="dxa"/>
            <w:vAlign w:val="bottom"/>
          </w:tcPr>
          <w:p>
            <w:pPr>
              <w:spacing w:after="0"/>
              <w:rPr>
                <w:sz w:val="1"/>
                <w:szCs w:val="1"/>
                <w:color w:val="auto"/>
              </w:rPr>
            </w:pPr>
          </w:p>
        </w:tc>
      </w:tr>
      <w:tr>
        <w:trPr>
          <w:trHeight w:val="118"/>
        </w:trPr>
        <w:tc>
          <w:tcPr>
            <w:tcW w:w="740" w:type="dxa"/>
            <w:vAlign w:val="bottom"/>
          </w:tcPr>
          <w:p>
            <w:pPr>
              <w:spacing w:after="0"/>
              <w:rPr>
                <w:sz w:val="10"/>
                <w:szCs w:val="10"/>
                <w:color w:val="auto"/>
              </w:rPr>
            </w:pPr>
          </w:p>
        </w:tc>
        <w:tc>
          <w:tcPr>
            <w:tcW w:w="1120" w:type="dxa"/>
            <w:vAlign w:val="bottom"/>
          </w:tcPr>
          <w:p>
            <w:pPr>
              <w:spacing w:after="0"/>
              <w:rPr>
                <w:sz w:val="10"/>
                <w:szCs w:val="10"/>
                <w:color w:val="auto"/>
              </w:rPr>
            </w:pPr>
          </w:p>
        </w:tc>
        <w:tc>
          <w:tcPr>
            <w:tcW w:w="1080" w:type="dxa"/>
            <w:vAlign w:val="bottom"/>
          </w:tcPr>
          <w:p>
            <w:pPr>
              <w:spacing w:after="0"/>
              <w:rPr>
                <w:sz w:val="10"/>
                <w:szCs w:val="10"/>
                <w:color w:val="auto"/>
              </w:rPr>
            </w:pPr>
          </w:p>
        </w:tc>
        <w:tc>
          <w:tcPr>
            <w:tcW w:w="980" w:type="dxa"/>
            <w:vAlign w:val="bottom"/>
          </w:tcPr>
          <w:p>
            <w:pPr>
              <w:jc w:val="center"/>
              <w:spacing w:after="0" w:line="118" w:lineRule="exact"/>
              <w:rPr>
                <w:sz w:val="20"/>
                <w:szCs w:val="20"/>
                <w:color w:val="auto"/>
              </w:rPr>
            </w:pPr>
            <w:r>
              <w:rPr>
                <w:rFonts w:ascii="Arial" w:cs="Arial" w:eastAsia="Arial" w:hAnsi="Arial"/>
                <w:sz w:val="13"/>
                <w:szCs w:val="13"/>
                <w:color w:val="auto"/>
              </w:rPr>
              <w:t>shelf</w:t>
            </w:r>
          </w:p>
        </w:tc>
        <w:tc>
          <w:tcPr>
            <w:tcW w:w="900" w:type="dxa"/>
            <w:vAlign w:val="bottom"/>
          </w:tcPr>
          <w:p>
            <w:pPr>
              <w:spacing w:after="0"/>
              <w:rPr>
                <w:sz w:val="10"/>
                <w:szCs w:val="10"/>
                <w:color w:val="auto"/>
              </w:rPr>
            </w:pPr>
          </w:p>
        </w:tc>
        <w:tc>
          <w:tcPr>
            <w:tcW w:w="88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680" w:type="dxa"/>
            <w:vAlign w:val="bottom"/>
          </w:tcPr>
          <w:p>
            <w:pPr>
              <w:spacing w:after="0"/>
              <w:rPr>
                <w:sz w:val="10"/>
                <w:szCs w:val="10"/>
                <w:color w:val="auto"/>
              </w:rPr>
            </w:pPr>
          </w:p>
        </w:tc>
        <w:tc>
          <w:tcPr>
            <w:tcW w:w="560" w:type="dxa"/>
            <w:vAlign w:val="bottom"/>
          </w:tcPr>
          <w:p>
            <w:pPr>
              <w:jc w:val="center"/>
              <w:spacing w:after="0" w:line="118" w:lineRule="exact"/>
              <w:rPr>
                <w:sz w:val="20"/>
                <w:szCs w:val="20"/>
                <w:color w:val="auto"/>
              </w:rPr>
            </w:pPr>
            <w:r>
              <w:rPr>
                <w:rFonts w:ascii="Arial" w:cs="Arial" w:eastAsia="Arial" w:hAnsi="Arial"/>
                <w:sz w:val="13"/>
                <w:szCs w:val="13"/>
                <w:color w:val="auto"/>
              </w:rPr>
              <w:t>1.40</w:t>
            </w:r>
          </w:p>
        </w:tc>
        <w:tc>
          <w:tcPr>
            <w:tcW w:w="560" w:type="dxa"/>
            <w:vAlign w:val="bottom"/>
          </w:tcPr>
          <w:p>
            <w:pPr>
              <w:jc w:val="center"/>
              <w:ind w:left="1"/>
              <w:spacing w:after="0" w:line="118" w:lineRule="exact"/>
              <w:rPr>
                <w:sz w:val="20"/>
                <w:szCs w:val="20"/>
                <w:color w:val="auto"/>
              </w:rPr>
            </w:pPr>
            <w:r>
              <w:rPr>
                <w:rFonts w:ascii="Arial" w:cs="Arial" w:eastAsia="Arial" w:hAnsi="Arial"/>
                <w:sz w:val="13"/>
                <w:szCs w:val="13"/>
                <w:color w:val="auto"/>
              </w:rPr>
              <w:t>5.0</w:t>
            </w:r>
          </w:p>
        </w:tc>
        <w:tc>
          <w:tcPr>
            <w:tcW w:w="840" w:type="dxa"/>
            <w:vAlign w:val="bottom"/>
          </w:tcPr>
          <w:p>
            <w:pPr>
              <w:jc w:val="center"/>
              <w:spacing w:after="0" w:line="118" w:lineRule="exact"/>
              <w:rPr>
                <w:sz w:val="20"/>
                <w:szCs w:val="20"/>
                <w:color w:val="auto"/>
              </w:rPr>
            </w:pPr>
            <w:r>
              <w:rPr>
                <w:rFonts w:ascii="Arial" w:cs="Arial" w:eastAsia="Arial" w:hAnsi="Arial"/>
                <w:sz w:val="13"/>
                <w:szCs w:val="13"/>
                <w:color w:val="auto"/>
              </w:rPr>
              <w:t>1.20</w:t>
            </w:r>
          </w:p>
        </w:tc>
        <w:tc>
          <w:tcPr>
            <w:tcW w:w="8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74"/>
        </w:trPr>
        <w:tc>
          <w:tcPr>
            <w:tcW w:w="740" w:type="dxa"/>
            <w:vAlign w:val="bottom"/>
          </w:tcPr>
          <w:p>
            <w:pPr>
              <w:jc w:val="center"/>
              <w:spacing w:after="0"/>
              <w:rPr>
                <w:sz w:val="20"/>
                <w:szCs w:val="20"/>
                <w:color w:val="auto"/>
              </w:rPr>
            </w:pPr>
            <w:r>
              <w:rPr>
                <w:rFonts w:ascii="Arial" w:cs="Arial" w:eastAsia="Arial" w:hAnsi="Arial"/>
                <w:sz w:val="17"/>
                <w:szCs w:val="17"/>
                <w:color w:val="auto"/>
              </w:rPr>
              <w:t>Fuling,</w:t>
            </w:r>
          </w:p>
        </w:tc>
        <w:tc>
          <w:tcPr>
            <w:tcW w:w="1120" w:type="dxa"/>
            <w:vAlign w:val="bottom"/>
          </w:tcPr>
          <w:p>
            <w:pPr>
              <w:jc w:val="center"/>
              <w:spacing w:after="0"/>
              <w:rPr>
                <w:sz w:val="20"/>
                <w:szCs w:val="20"/>
                <w:color w:val="auto"/>
              </w:rPr>
            </w:pPr>
            <w:r>
              <w:rPr>
                <w:rFonts w:ascii="Arial" w:cs="Arial" w:eastAsia="Arial" w:hAnsi="Arial"/>
                <w:sz w:val="17"/>
                <w:szCs w:val="17"/>
                <w:color w:val="auto"/>
                <w:w w:val="97"/>
              </w:rPr>
              <w:t>Wufeng Fm.–</w:t>
            </w:r>
          </w:p>
        </w:tc>
        <w:tc>
          <w:tcPr>
            <w:tcW w:w="1080" w:type="dxa"/>
            <w:vAlign w:val="bottom"/>
          </w:tcPr>
          <w:p>
            <w:pPr>
              <w:jc w:val="center"/>
              <w:spacing w:after="0"/>
              <w:rPr>
                <w:sz w:val="20"/>
                <w:szCs w:val="20"/>
                <w:color w:val="auto"/>
              </w:rPr>
            </w:pPr>
            <w:r>
              <w:rPr>
                <w:rFonts w:ascii="Arial" w:cs="Arial" w:eastAsia="Arial" w:hAnsi="Arial"/>
                <w:sz w:val="17"/>
                <w:szCs w:val="17"/>
                <w:color w:val="auto"/>
              </w:rPr>
              <w:t>Ordovician–</w:t>
            </w:r>
          </w:p>
        </w:tc>
        <w:tc>
          <w:tcPr>
            <w:tcW w:w="980" w:type="dxa"/>
            <w:vAlign w:val="bottom"/>
          </w:tcPr>
          <w:p>
            <w:pPr>
              <w:jc w:val="center"/>
              <w:spacing w:after="0"/>
              <w:rPr>
                <w:sz w:val="20"/>
                <w:szCs w:val="20"/>
                <w:color w:val="auto"/>
              </w:rPr>
            </w:pPr>
            <w:r>
              <w:rPr>
                <w:rFonts w:ascii="Arial" w:cs="Arial" w:eastAsia="Arial" w:hAnsi="Arial"/>
                <w:sz w:val="17"/>
                <w:szCs w:val="17"/>
                <w:color w:val="auto"/>
              </w:rPr>
              <w:t>Deep-water</w:t>
            </w:r>
          </w:p>
        </w:tc>
        <w:tc>
          <w:tcPr>
            <w:tcW w:w="900" w:type="dxa"/>
            <w:vAlign w:val="bottom"/>
          </w:tcPr>
          <w:p>
            <w:pPr>
              <w:jc w:val="center"/>
              <w:spacing w:after="0"/>
              <w:rPr>
                <w:sz w:val="20"/>
                <w:szCs w:val="20"/>
                <w:color w:val="auto"/>
              </w:rPr>
            </w:pPr>
            <w:r>
              <w:rPr>
                <w:rFonts w:ascii="Arial" w:cs="Arial" w:eastAsia="Arial" w:hAnsi="Arial"/>
                <w:sz w:val="17"/>
                <w:szCs w:val="17"/>
                <w:color w:val="auto"/>
                <w:w w:val="96"/>
              </w:rPr>
              <w:t>2000–4000</w:t>
            </w:r>
          </w:p>
        </w:tc>
        <w:tc>
          <w:tcPr>
            <w:tcW w:w="880" w:type="dxa"/>
            <w:vAlign w:val="bottom"/>
          </w:tcPr>
          <w:p>
            <w:pPr>
              <w:jc w:val="center"/>
              <w:spacing w:after="0"/>
              <w:rPr>
                <w:sz w:val="20"/>
                <w:szCs w:val="20"/>
                <w:color w:val="auto"/>
              </w:rPr>
            </w:pPr>
            <w:r>
              <w:rPr>
                <w:rFonts w:ascii="Arial" w:cs="Arial" w:eastAsia="Arial" w:hAnsi="Arial"/>
                <w:sz w:val="17"/>
                <w:szCs w:val="17"/>
                <w:color w:val="auto"/>
              </w:rPr>
              <w:t>20–40</w:t>
            </w:r>
          </w:p>
        </w:tc>
        <w:tc>
          <w:tcPr>
            <w:tcW w:w="520" w:type="dxa"/>
            <w:vAlign w:val="bottom"/>
          </w:tcPr>
          <w:p>
            <w:pPr>
              <w:jc w:val="center"/>
              <w:spacing w:after="0"/>
              <w:rPr>
                <w:sz w:val="20"/>
                <w:szCs w:val="20"/>
                <w:color w:val="auto"/>
              </w:rPr>
            </w:pPr>
            <w:r>
              <w:rPr>
                <w:rFonts w:ascii="Arial" w:cs="Arial" w:eastAsia="Arial" w:hAnsi="Arial"/>
                <w:sz w:val="17"/>
                <w:szCs w:val="17"/>
                <w:color w:val="auto"/>
              </w:rPr>
              <w:t>5</w:t>
            </w:r>
          </w:p>
        </w:tc>
        <w:tc>
          <w:tcPr>
            <w:tcW w:w="680" w:type="dxa"/>
            <w:vAlign w:val="bottom"/>
          </w:tcPr>
          <w:p>
            <w:pPr>
              <w:ind w:left="40"/>
              <w:spacing w:after="0"/>
              <w:rPr>
                <w:sz w:val="20"/>
                <w:szCs w:val="20"/>
                <w:color w:val="auto"/>
              </w:rPr>
            </w:pPr>
            <w:r>
              <w:rPr>
                <w:rFonts w:ascii="Arial" w:cs="Arial" w:eastAsia="Arial" w:hAnsi="Arial"/>
                <w:sz w:val="17"/>
                <w:szCs w:val="17"/>
                <w:color w:val="auto"/>
              </w:rPr>
              <w:t>2.0–8.0</w:t>
            </w:r>
          </w:p>
        </w:tc>
        <w:tc>
          <w:tcPr>
            <w:tcW w:w="560" w:type="dxa"/>
            <w:vAlign w:val="bottom"/>
          </w:tcPr>
          <w:p>
            <w:pPr>
              <w:jc w:val="center"/>
              <w:spacing w:after="0"/>
              <w:rPr>
                <w:sz w:val="20"/>
                <w:szCs w:val="20"/>
                <w:color w:val="auto"/>
              </w:rPr>
            </w:pPr>
            <w:r>
              <w:rPr>
                <w:rFonts w:ascii="Arial" w:cs="Arial" w:eastAsia="Arial" w:hAnsi="Arial"/>
                <w:sz w:val="17"/>
                <w:szCs w:val="17"/>
                <w:color w:val="auto"/>
                <w:w w:val="96"/>
              </w:rPr>
              <w:t>2.65</w:t>
            </w:r>
          </w:p>
        </w:tc>
        <w:tc>
          <w:tcPr>
            <w:tcW w:w="560" w:type="dxa"/>
            <w:vAlign w:val="bottom"/>
          </w:tcPr>
          <w:p>
            <w:pPr>
              <w:jc w:val="center"/>
              <w:ind w:left="1"/>
              <w:spacing w:after="0"/>
              <w:rPr>
                <w:sz w:val="20"/>
                <w:szCs w:val="20"/>
                <w:color w:val="auto"/>
              </w:rPr>
            </w:pPr>
            <w:r>
              <w:rPr>
                <w:rFonts w:ascii="Arial" w:cs="Arial" w:eastAsia="Arial" w:hAnsi="Arial"/>
                <w:sz w:val="17"/>
                <w:szCs w:val="17"/>
                <w:color w:val="auto"/>
                <w:w w:val="96"/>
              </w:rPr>
              <w:t>1.2–</w:t>
            </w:r>
          </w:p>
        </w:tc>
        <w:tc>
          <w:tcPr>
            <w:tcW w:w="840" w:type="dxa"/>
            <w:vAlign w:val="bottom"/>
          </w:tcPr>
          <w:p>
            <w:pPr>
              <w:jc w:val="center"/>
              <w:spacing w:after="0"/>
              <w:rPr>
                <w:sz w:val="20"/>
                <w:szCs w:val="20"/>
                <w:color w:val="auto"/>
              </w:rPr>
            </w:pPr>
            <w:r>
              <w:rPr>
                <w:rFonts w:ascii="Arial" w:cs="Arial" w:eastAsia="Arial" w:hAnsi="Arial"/>
                <w:sz w:val="17"/>
                <w:szCs w:val="17"/>
                <w:color w:val="auto"/>
                <w:w w:val="96"/>
              </w:rPr>
              <w:t>1.55</w:t>
            </w:r>
          </w:p>
        </w:tc>
        <w:tc>
          <w:tcPr>
            <w:tcW w:w="820" w:type="dxa"/>
            <w:vAlign w:val="bottom"/>
          </w:tcPr>
          <w:p>
            <w:pPr>
              <w:jc w:val="center"/>
              <w:spacing w:after="0"/>
              <w:rPr>
                <w:sz w:val="20"/>
                <w:szCs w:val="20"/>
                <w:color w:val="auto"/>
              </w:rPr>
            </w:pPr>
            <w:r>
              <w:rPr>
                <w:rFonts w:ascii="Arial" w:cs="Arial" w:eastAsia="Arial" w:hAnsi="Arial"/>
                <w:sz w:val="17"/>
                <w:szCs w:val="17"/>
                <w:color w:val="auto"/>
                <w:w w:val="94"/>
              </w:rPr>
              <w:t>18</w:t>
            </w:r>
          </w:p>
        </w:tc>
        <w:tc>
          <w:tcPr>
            <w:tcW w:w="0" w:type="dxa"/>
            <w:vAlign w:val="bottom"/>
          </w:tcPr>
          <w:p>
            <w:pPr>
              <w:spacing w:after="0"/>
              <w:rPr>
                <w:sz w:val="1"/>
                <w:szCs w:val="1"/>
                <w:color w:val="auto"/>
              </w:rPr>
            </w:pPr>
          </w:p>
        </w:tc>
      </w:tr>
      <w:tr>
        <w:trPr>
          <w:trHeight w:val="117"/>
        </w:trPr>
        <w:tc>
          <w:tcPr>
            <w:tcW w:w="740" w:type="dxa"/>
            <w:vAlign w:val="bottom"/>
          </w:tcPr>
          <w:p>
            <w:pPr>
              <w:jc w:val="center"/>
              <w:spacing w:after="0" w:line="118" w:lineRule="exact"/>
              <w:rPr>
                <w:sz w:val="20"/>
                <w:szCs w:val="20"/>
                <w:color w:val="auto"/>
              </w:rPr>
            </w:pPr>
            <w:r>
              <w:rPr>
                <w:rFonts w:ascii="Arial" w:cs="Arial" w:eastAsia="Arial" w:hAnsi="Arial"/>
                <w:sz w:val="13"/>
                <w:szCs w:val="13"/>
                <w:color w:val="auto"/>
              </w:rPr>
              <w:t>Sichuan</w:t>
            </w:r>
          </w:p>
        </w:tc>
        <w:tc>
          <w:tcPr>
            <w:tcW w:w="1120" w:type="dxa"/>
            <w:vAlign w:val="bottom"/>
          </w:tcPr>
          <w:p>
            <w:pPr>
              <w:jc w:val="center"/>
              <w:spacing w:after="0" w:line="118" w:lineRule="exact"/>
              <w:rPr>
                <w:sz w:val="20"/>
                <w:szCs w:val="20"/>
                <w:color w:val="auto"/>
              </w:rPr>
            </w:pPr>
            <w:r>
              <w:rPr>
                <w:rFonts w:ascii="Arial" w:cs="Arial" w:eastAsia="Arial" w:hAnsi="Arial"/>
                <w:sz w:val="13"/>
                <w:szCs w:val="13"/>
                <w:color w:val="auto"/>
              </w:rPr>
              <w:t>Longmaxi Fm.</w:t>
            </w:r>
          </w:p>
        </w:tc>
        <w:tc>
          <w:tcPr>
            <w:tcW w:w="1080" w:type="dxa"/>
            <w:vAlign w:val="bottom"/>
          </w:tcPr>
          <w:p>
            <w:pPr>
              <w:jc w:val="center"/>
              <w:spacing w:after="0" w:line="118" w:lineRule="exact"/>
              <w:rPr>
                <w:sz w:val="20"/>
                <w:szCs w:val="20"/>
                <w:color w:val="auto"/>
              </w:rPr>
            </w:pPr>
            <w:r>
              <w:rPr>
                <w:rFonts w:ascii="Arial" w:cs="Arial" w:eastAsia="Arial" w:hAnsi="Arial"/>
                <w:sz w:val="13"/>
                <w:szCs w:val="13"/>
                <w:color w:val="auto"/>
              </w:rPr>
              <w:t>Silurian</w:t>
            </w:r>
          </w:p>
        </w:tc>
        <w:tc>
          <w:tcPr>
            <w:tcW w:w="980" w:type="dxa"/>
            <w:vAlign w:val="bottom"/>
          </w:tcPr>
          <w:p>
            <w:pPr>
              <w:jc w:val="center"/>
              <w:spacing w:after="0" w:line="118" w:lineRule="exact"/>
              <w:rPr>
                <w:sz w:val="20"/>
                <w:szCs w:val="20"/>
                <w:color w:val="auto"/>
              </w:rPr>
            </w:pPr>
            <w:r>
              <w:rPr>
                <w:rFonts w:ascii="Arial" w:cs="Arial" w:eastAsia="Arial" w:hAnsi="Arial"/>
                <w:sz w:val="13"/>
                <w:szCs w:val="13"/>
                <w:color w:val="auto"/>
              </w:rPr>
              <w:t>shelf</w:t>
            </w:r>
          </w:p>
        </w:tc>
        <w:tc>
          <w:tcPr>
            <w:tcW w:w="900" w:type="dxa"/>
            <w:vAlign w:val="bottom"/>
          </w:tcPr>
          <w:p>
            <w:pPr>
              <w:spacing w:after="0"/>
              <w:rPr>
                <w:sz w:val="10"/>
                <w:szCs w:val="10"/>
                <w:color w:val="auto"/>
              </w:rPr>
            </w:pPr>
          </w:p>
        </w:tc>
        <w:tc>
          <w:tcPr>
            <w:tcW w:w="88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68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560" w:type="dxa"/>
            <w:vAlign w:val="bottom"/>
          </w:tcPr>
          <w:p>
            <w:pPr>
              <w:jc w:val="center"/>
              <w:ind w:left="1"/>
              <w:spacing w:after="0" w:line="118" w:lineRule="exact"/>
              <w:rPr>
                <w:sz w:val="20"/>
                <w:szCs w:val="20"/>
                <w:color w:val="auto"/>
              </w:rPr>
            </w:pPr>
            <w:r>
              <w:rPr>
                <w:rFonts w:ascii="Arial" w:cs="Arial" w:eastAsia="Arial" w:hAnsi="Arial"/>
                <w:sz w:val="13"/>
                <w:szCs w:val="13"/>
                <w:color w:val="auto"/>
              </w:rPr>
              <w:t>8.1</w:t>
            </w:r>
          </w:p>
        </w:tc>
        <w:tc>
          <w:tcPr>
            <w:tcW w:w="84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74"/>
        </w:trPr>
        <w:tc>
          <w:tcPr>
            <w:tcW w:w="740" w:type="dxa"/>
            <w:vAlign w:val="bottom"/>
          </w:tcPr>
          <w:p>
            <w:pPr>
              <w:jc w:val="center"/>
              <w:spacing w:after="0"/>
              <w:rPr>
                <w:sz w:val="20"/>
                <w:szCs w:val="20"/>
                <w:color w:val="auto"/>
              </w:rPr>
            </w:pPr>
            <w:r>
              <w:rPr>
                <w:rFonts w:ascii="Arial" w:cs="Arial" w:eastAsia="Arial" w:hAnsi="Arial"/>
                <w:sz w:val="17"/>
                <w:szCs w:val="17"/>
                <w:color w:val="auto"/>
              </w:rPr>
              <w:t>Southern</w:t>
            </w:r>
          </w:p>
        </w:tc>
        <w:tc>
          <w:tcPr>
            <w:tcW w:w="1120" w:type="dxa"/>
            <w:vAlign w:val="bottom"/>
          </w:tcPr>
          <w:p>
            <w:pPr>
              <w:jc w:val="center"/>
              <w:spacing w:after="0"/>
              <w:rPr>
                <w:sz w:val="20"/>
                <w:szCs w:val="20"/>
                <w:color w:val="auto"/>
              </w:rPr>
            </w:pPr>
            <w:r>
              <w:rPr>
                <w:rFonts w:ascii="Arial" w:cs="Arial" w:eastAsia="Arial" w:hAnsi="Arial"/>
                <w:sz w:val="17"/>
                <w:szCs w:val="17"/>
                <w:color w:val="auto"/>
                <w:w w:val="97"/>
              </w:rPr>
              <w:t>Wufeng Fm.–</w:t>
            </w:r>
          </w:p>
        </w:tc>
        <w:tc>
          <w:tcPr>
            <w:tcW w:w="1080" w:type="dxa"/>
            <w:vAlign w:val="bottom"/>
          </w:tcPr>
          <w:p>
            <w:pPr>
              <w:jc w:val="center"/>
              <w:spacing w:after="0"/>
              <w:rPr>
                <w:sz w:val="20"/>
                <w:szCs w:val="20"/>
                <w:color w:val="auto"/>
              </w:rPr>
            </w:pPr>
            <w:r>
              <w:rPr>
                <w:rFonts w:ascii="Arial" w:cs="Arial" w:eastAsia="Arial" w:hAnsi="Arial"/>
                <w:sz w:val="17"/>
                <w:szCs w:val="17"/>
                <w:color w:val="auto"/>
                <w:w w:val="99"/>
              </w:rPr>
              <w:t>Ordovician–</w:t>
            </w:r>
          </w:p>
        </w:tc>
        <w:tc>
          <w:tcPr>
            <w:tcW w:w="980" w:type="dxa"/>
            <w:vAlign w:val="bottom"/>
          </w:tcPr>
          <w:p>
            <w:pPr>
              <w:jc w:val="center"/>
              <w:spacing w:after="0"/>
              <w:rPr>
                <w:sz w:val="20"/>
                <w:szCs w:val="20"/>
                <w:color w:val="auto"/>
              </w:rPr>
            </w:pPr>
            <w:r>
              <w:rPr>
                <w:rFonts w:ascii="Arial" w:cs="Arial" w:eastAsia="Arial" w:hAnsi="Arial"/>
                <w:sz w:val="17"/>
                <w:szCs w:val="17"/>
                <w:color w:val="auto"/>
              </w:rPr>
              <w:t>Deep-water</w:t>
            </w:r>
          </w:p>
        </w:tc>
        <w:tc>
          <w:tcPr>
            <w:tcW w:w="900" w:type="dxa"/>
            <w:vAlign w:val="bottom"/>
          </w:tcPr>
          <w:p>
            <w:pPr>
              <w:jc w:val="center"/>
              <w:spacing w:after="0"/>
              <w:rPr>
                <w:sz w:val="20"/>
                <w:szCs w:val="20"/>
                <w:color w:val="auto"/>
              </w:rPr>
            </w:pPr>
            <w:r>
              <w:rPr>
                <w:rFonts w:ascii="Arial" w:cs="Arial" w:eastAsia="Arial" w:hAnsi="Arial"/>
                <w:sz w:val="17"/>
                <w:szCs w:val="17"/>
                <w:color w:val="auto"/>
                <w:w w:val="96"/>
              </w:rPr>
              <w:t>3000–4500</w:t>
            </w:r>
          </w:p>
        </w:tc>
        <w:tc>
          <w:tcPr>
            <w:tcW w:w="880" w:type="dxa"/>
            <w:vAlign w:val="bottom"/>
          </w:tcPr>
          <w:p>
            <w:pPr>
              <w:jc w:val="center"/>
              <w:spacing w:after="0"/>
              <w:rPr>
                <w:sz w:val="20"/>
                <w:szCs w:val="20"/>
                <w:color w:val="auto"/>
              </w:rPr>
            </w:pPr>
            <w:r>
              <w:rPr>
                <w:rFonts w:ascii="Arial" w:cs="Arial" w:eastAsia="Arial" w:hAnsi="Arial"/>
                <w:sz w:val="17"/>
                <w:szCs w:val="17"/>
                <w:color w:val="auto"/>
              </w:rPr>
              <w:t>50–83</w:t>
            </w:r>
          </w:p>
        </w:tc>
        <w:tc>
          <w:tcPr>
            <w:tcW w:w="520" w:type="dxa"/>
            <w:vAlign w:val="bottom"/>
          </w:tcPr>
          <w:p>
            <w:pPr>
              <w:jc w:val="center"/>
              <w:spacing w:after="0"/>
              <w:rPr>
                <w:sz w:val="20"/>
                <w:szCs w:val="20"/>
                <w:color w:val="auto"/>
              </w:rPr>
            </w:pPr>
            <w:r>
              <w:rPr>
                <w:rFonts w:ascii="Arial" w:cs="Arial" w:eastAsia="Arial" w:hAnsi="Arial"/>
                <w:sz w:val="17"/>
                <w:szCs w:val="17"/>
                <w:color w:val="auto"/>
              </w:rPr>
              <w:t>8</w:t>
            </w:r>
          </w:p>
        </w:tc>
        <w:tc>
          <w:tcPr>
            <w:tcW w:w="680" w:type="dxa"/>
            <w:vAlign w:val="bottom"/>
          </w:tcPr>
          <w:p>
            <w:pPr>
              <w:ind w:left="40"/>
              <w:spacing w:after="0"/>
              <w:rPr>
                <w:sz w:val="20"/>
                <w:szCs w:val="20"/>
                <w:color w:val="auto"/>
              </w:rPr>
            </w:pPr>
            <w:r>
              <w:rPr>
                <w:rFonts w:ascii="Arial" w:cs="Arial" w:eastAsia="Arial" w:hAnsi="Arial"/>
                <w:sz w:val="17"/>
                <w:szCs w:val="17"/>
                <w:color w:val="auto"/>
              </w:rPr>
              <w:t>2.5–8.5</w:t>
            </w:r>
          </w:p>
        </w:tc>
        <w:tc>
          <w:tcPr>
            <w:tcW w:w="560" w:type="dxa"/>
            <w:vAlign w:val="bottom"/>
          </w:tcPr>
          <w:p>
            <w:pPr>
              <w:jc w:val="center"/>
              <w:spacing w:after="0"/>
              <w:rPr>
                <w:sz w:val="20"/>
                <w:szCs w:val="20"/>
                <w:color w:val="auto"/>
              </w:rPr>
            </w:pPr>
            <w:r>
              <w:rPr>
                <w:rFonts w:ascii="Arial" w:cs="Arial" w:eastAsia="Arial" w:hAnsi="Arial"/>
                <w:sz w:val="17"/>
                <w:szCs w:val="17"/>
                <w:color w:val="auto"/>
              </w:rPr>
              <w:t>2.50–</w:t>
            </w:r>
          </w:p>
        </w:tc>
        <w:tc>
          <w:tcPr>
            <w:tcW w:w="560" w:type="dxa"/>
            <w:vAlign w:val="bottom"/>
          </w:tcPr>
          <w:p>
            <w:pPr>
              <w:jc w:val="center"/>
              <w:ind w:left="1"/>
              <w:spacing w:after="0"/>
              <w:rPr>
                <w:sz w:val="20"/>
                <w:szCs w:val="20"/>
                <w:color w:val="auto"/>
              </w:rPr>
            </w:pPr>
            <w:r>
              <w:rPr>
                <w:rFonts w:ascii="Arial" w:cs="Arial" w:eastAsia="Arial" w:hAnsi="Arial"/>
                <w:sz w:val="17"/>
                <w:szCs w:val="17"/>
                <w:color w:val="auto"/>
                <w:w w:val="96"/>
              </w:rPr>
              <w:t>2.0–</w:t>
            </w:r>
          </w:p>
        </w:tc>
        <w:tc>
          <w:tcPr>
            <w:tcW w:w="840" w:type="dxa"/>
            <w:vAlign w:val="bottom"/>
          </w:tcPr>
          <w:p>
            <w:pPr>
              <w:jc w:val="center"/>
              <w:spacing w:after="0"/>
              <w:rPr>
                <w:sz w:val="20"/>
                <w:szCs w:val="20"/>
                <w:color w:val="auto"/>
              </w:rPr>
            </w:pPr>
            <w:r>
              <w:rPr>
                <w:rFonts w:ascii="Arial" w:cs="Arial" w:eastAsia="Arial" w:hAnsi="Arial"/>
                <w:sz w:val="17"/>
                <w:szCs w:val="17"/>
                <w:color w:val="auto"/>
              </w:rPr>
              <w:t>1.20–</w:t>
            </w:r>
          </w:p>
        </w:tc>
        <w:tc>
          <w:tcPr>
            <w:tcW w:w="820" w:type="dxa"/>
            <w:vAlign w:val="bottom"/>
          </w:tcPr>
          <w:p>
            <w:pPr>
              <w:jc w:val="center"/>
              <w:spacing w:after="0"/>
              <w:rPr>
                <w:sz w:val="20"/>
                <w:szCs w:val="20"/>
                <w:color w:val="auto"/>
              </w:rPr>
            </w:pPr>
            <w:r>
              <w:rPr>
                <w:rFonts w:ascii="Arial" w:cs="Arial" w:eastAsia="Arial" w:hAnsi="Arial"/>
                <w:sz w:val="17"/>
                <w:szCs w:val="17"/>
                <w:color w:val="auto"/>
                <w:w w:val="94"/>
              </w:rPr>
              <w:t>15</w:t>
            </w:r>
          </w:p>
        </w:tc>
        <w:tc>
          <w:tcPr>
            <w:tcW w:w="0" w:type="dxa"/>
            <w:vAlign w:val="bottom"/>
          </w:tcPr>
          <w:p>
            <w:pPr>
              <w:spacing w:after="0"/>
              <w:rPr>
                <w:sz w:val="1"/>
                <w:szCs w:val="1"/>
                <w:color w:val="auto"/>
              </w:rPr>
            </w:pPr>
          </w:p>
        </w:tc>
      </w:tr>
      <w:tr>
        <w:trPr>
          <w:trHeight w:val="220"/>
        </w:trPr>
        <w:tc>
          <w:tcPr>
            <w:tcW w:w="740" w:type="dxa"/>
            <w:vAlign w:val="bottom"/>
          </w:tcPr>
          <w:p>
            <w:pPr>
              <w:jc w:val="center"/>
              <w:spacing w:after="0"/>
              <w:rPr>
                <w:sz w:val="20"/>
                <w:szCs w:val="20"/>
                <w:color w:val="auto"/>
              </w:rPr>
            </w:pPr>
            <w:r>
              <w:rPr>
                <w:rFonts w:ascii="Arial" w:cs="Arial" w:eastAsia="Arial" w:hAnsi="Arial"/>
                <w:sz w:val="17"/>
                <w:szCs w:val="17"/>
                <w:color w:val="auto"/>
              </w:rPr>
              <w:t>Sichuan</w:t>
            </w:r>
          </w:p>
        </w:tc>
        <w:tc>
          <w:tcPr>
            <w:tcW w:w="1120" w:type="dxa"/>
            <w:vAlign w:val="bottom"/>
          </w:tcPr>
          <w:p>
            <w:pPr>
              <w:jc w:val="center"/>
              <w:spacing w:after="0"/>
              <w:rPr>
                <w:sz w:val="20"/>
                <w:szCs w:val="20"/>
                <w:color w:val="auto"/>
              </w:rPr>
            </w:pPr>
            <w:r>
              <w:rPr>
                <w:rFonts w:ascii="Arial" w:cs="Arial" w:eastAsia="Arial" w:hAnsi="Arial"/>
                <w:sz w:val="17"/>
                <w:szCs w:val="17"/>
                <w:color w:val="auto"/>
                <w:w w:val="96"/>
              </w:rPr>
              <w:t>Longmaxi Fm.</w:t>
            </w:r>
          </w:p>
        </w:tc>
        <w:tc>
          <w:tcPr>
            <w:tcW w:w="1080" w:type="dxa"/>
            <w:vAlign w:val="bottom"/>
          </w:tcPr>
          <w:p>
            <w:pPr>
              <w:jc w:val="center"/>
              <w:spacing w:after="0"/>
              <w:rPr>
                <w:sz w:val="20"/>
                <w:szCs w:val="20"/>
                <w:color w:val="auto"/>
              </w:rPr>
            </w:pPr>
            <w:r>
              <w:rPr>
                <w:rFonts w:ascii="Arial" w:cs="Arial" w:eastAsia="Arial" w:hAnsi="Arial"/>
                <w:sz w:val="17"/>
                <w:szCs w:val="17"/>
                <w:color w:val="auto"/>
              </w:rPr>
              <w:t>Silurian</w:t>
            </w:r>
          </w:p>
        </w:tc>
        <w:tc>
          <w:tcPr>
            <w:tcW w:w="980" w:type="dxa"/>
            <w:vAlign w:val="bottom"/>
          </w:tcPr>
          <w:p>
            <w:pPr>
              <w:jc w:val="center"/>
              <w:spacing w:after="0"/>
              <w:rPr>
                <w:sz w:val="20"/>
                <w:szCs w:val="20"/>
                <w:color w:val="auto"/>
              </w:rPr>
            </w:pPr>
            <w:r>
              <w:rPr>
                <w:rFonts w:ascii="Arial" w:cs="Arial" w:eastAsia="Arial" w:hAnsi="Arial"/>
                <w:sz w:val="17"/>
                <w:szCs w:val="17"/>
                <w:color w:val="auto"/>
              </w:rPr>
              <w:t>shelf</w:t>
            </w:r>
          </w:p>
        </w:tc>
        <w:tc>
          <w:tcPr>
            <w:tcW w:w="900" w:type="dxa"/>
            <w:vAlign w:val="bottom"/>
          </w:tcPr>
          <w:p>
            <w:pPr>
              <w:spacing w:after="0"/>
              <w:rPr>
                <w:sz w:val="19"/>
                <w:szCs w:val="19"/>
                <w:color w:val="auto"/>
              </w:rPr>
            </w:pPr>
          </w:p>
        </w:tc>
        <w:tc>
          <w:tcPr>
            <w:tcW w:w="88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560" w:type="dxa"/>
            <w:vAlign w:val="bottom"/>
          </w:tcPr>
          <w:p>
            <w:pPr>
              <w:jc w:val="center"/>
              <w:spacing w:after="0"/>
              <w:rPr>
                <w:sz w:val="20"/>
                <w:szCs w:val="20"/>
                <w:color w:val="auto"/>
              </w:rPr>
            </w:pPr>
            <w:r>
              <w:rPr>
                <w:rFonts w:ascii="Arial" w:cs="Arial" w:eastAsia="Arial" w:hAnsi="Arial"/>
                <w:sz w:val="17"/>
                <w:szCs w:val="17"/>
                <w:color w:val="auto"/>
                <w:w w:val="96"/>
              </w:rPr>
              <w:t>3.80</w:t>
            </w:r>
          </w:p>
        </w:tc>
        <w:tc>
          <w:tcPr>
            <w:tcW w:w="560" w:type="dxa"/>
            <w:vAlign w:val="bottom"/>
          </w:tcPr>
          <w:p>
            <w:pPr>
              <w:jc w:val="center"/>
              <w:ind w:left="1"/>
              <w:spacing w:after="0"/>
              <w:rPr>
                <w:sz w:val="20"/>
                <w:szCs w:val="20"/>
                <w:color w:val="auto"/>
              </w:rPr>
            </w:pPr>
            <w:r>
              <w:rPr>
                <w:rFonts w:ascii="Arial" w:cs="Arial" w:eastAsia="Arial" w:hAnsi="Arial"/>
                <w:sz w:val="17"/>
                <w:szCs w:val="17"/>
                <w:color w:val="auto"/>
                <w:w w:val="96"/>
              </w:rPr>
              <w:t>12.0</w:t>
            </w:r>
          </w:p>
        </w:tc>
        <w:tc>
          <w:tcPr>
            <w:tcW w:w="840" w:type="dxa"/>
            <w:vAlign w:val="bottom"/>
          </w:tcPr>
          <w:p>
            <w:pPr>
              <w:jc w:val="center"/>
              <w:spacing w:after="0"/>
              <w:rPr>
                <w:sz w:val="20"/>
                <w:szCs w:val="20"/>
                <w:color w:val="auto"/>
              </w:rPr>
            </w:pPr>
            <w:r>
              <w:rPr>
                <w:rFonts w:ascii="Arial" w:cs="Arial" w:eastAsia="Arial" w:hAnsi="Arial"/>
                <w:sz w:val="17"/>
                <w:szCs w:val="17"/>
                <w:color w:val="auto"/>
                <w:w w:val="96"/>
              </w:rPr>
              <w:t>2.10</w:t>
            </w:r>
          </w:p>
        </w:tc>
        <w:tc>
          <w:tcPr>
            <w:tcW w:w="82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-192405</wp:posOffset>
                </wp:positionH>
                <wp:positionV relativeFrom="paragraph">
                  <wp:posOffset>-1049020</wp:posOffset>
                </wp:positionV>
                <wp:extent cx="633603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60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499pt,-82.5999pt" to="483.75pt,-82.59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-192405</wp:posOffset>
                </wp:positionH>
                <wp:positionV relativeFrom="paragraph">
                  <wp:posOffset>-49530</wp:posOffset>
                </wp:positionV>
                <wp:extent cx="633603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60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499pt,-3.8999pt" to="483.75pt,-3.8999pt" o:allowincell="f" strokecolor="#000000" strokeweight="0.4799pt"/>
            </w:pict>
          </mc:Fallback>
        </mc:AlternateContent>
      </w:r>
    </w:p>
    <w:p>
      <w:pPr>
        <w:jc w:val="center"/>
        <w:ind w:right="300"/>
        <w:spacing w:after="0" w:line="218" w:lineRule="auto"/>
        <w:rPr>
          <w:sz w:val="20"/>
          <w:szCs w:val="20"/>
          <w:color w:val="auto"/>
        </w:rPr>
      </w:pPr>
      <w:r>
        <w:rPr>
          <w:rFonts w:ascii="Times New Roman" w:cs="Times New Roman" w:eastAsia="Times New Roman" w:hAnsi="Times New Roman"/>
          <w:sz w:val="18"/>
          <w:szCs w:val="18"/>
          <w:color w:val="auto"/>
        </w:rPr>
        <w:t>945</w:t>
      </w:r>
    </w:p>
    <w:p>
      <w:pPr>
        <w:sectPr>
          <w:pgSz w:w="11900" w:h="16840" w:orient="portrait"/>
          <w:cols w:equalWidth="0" w:num="2">
            <w:col w:w="198" w:space="102"/>
            <w:col w:w="9680"/>
          </w:cols>
          <w:pgMar w:left="960" w:top="1015" w:right="964" w:bottom="412" w:gutter="0" w:footer="0" w:header="0"/>
          <w:type w:val="continuous"/>
        </w:sectPr>
      </w:pPr>
    </w:p>
    <w:bookmarkStart w:id="2" w:name="page3"/>
    <w:bookmarkEnd w:id="2"/>
    <w:p>
      <w:pPr>
        <w:jc w:val="center"/>
        <w:ind w:right="-159"/>
        <w:spacing w:after="0"/>
        <w:rPr>
          <w:sz w:val="20"/>
          <w:szCs w:val="20"/>
          <w:color w:val="auto"/>
        </w:rPr>
      </w:pPr>
      <w:r>
        <w:rPr>
          <w:rFonts w:ascii="Times New Roman" w:cs="Times New Roman" w:eastAsia="Times New Roman" w:hAnsi="Times New Roman"/>
          <w:sz w:val="16"/>
          <w:szCs w:val="16"/>
          <w:i w:val="1"/>
          <w:iCs w:val="1"/>
          <w:color w:val="auto"/>
        </w:rPr>
        <w:t>LEI Qun et al. / Petroleum Exploration and Development, 2023, 50(4): 944–954</w:t>
      </w:r>
    </w:p>
    <w:p>
      <w:pPr>
        <w:sectPr>
          <w:pgSz w:w="11900" w:h="16840" w:orient="portrait"/>
          <w:cols w:equalWidth="0" w:num="1">
            <w:col w:w="10020"/>
          </w:cols>
          <w:pgMar w:left="960" w:top="1015" w:right="924" w:bottom="381" w:gutter="0" w:footer="0" w:header="0"/>
        </w:sectPr>
      </w:pPr>
    </w:p>
    <w:p>
      <w:pPr>
        <w:spacing w:after="0" w:line="328" w:lineRule="exact"/>
        <w:rPr>
          <w:sz w:val="20"/>
          <w:szCs w:val="20"/>
          <w:color w:val="auto"/>
        </w:rPr>
      </w:pPr>
    </w:p>
    <w:p>
      <w:pPr>
        <w:jc w:val="both"/>
        <w:spacing w:after="0" w:line="282" w:lineRule="auto"/>
        <w:rPr>
          <w:sz w:val="20"/>
          <w:szCs w:val="20"/>
          <w:color w:val="auto"/>
        </w:rPr>
      </w:pPr>
      <w:r>
        <w:rPr>
          <w:rFonts w:ascii="Times New Roman" w:cs="Times New Roman" w:eastAsia="Times New Roman" w:hAnsi="Times New Roman"/>
          <w:sz w:val="19"/>
          <w:szCs w:val="19"/>
          <w:color w:val="auto"/>
        </w:rPr>
        <w:t>highly-efficient stimulation technology to fully sweep the reserves in longitudinal direction. The current U.S. shale oil can be utilized in three to five layers in three dimen-sions, with horizontal sections up to 2500–3800 m in length. In contrast, Chinese shale oil reservoirs are mostly lacustrine deposits with low pressure coefficient, high crude oil viscosity, low fluidity and small single-layer thickness, so there is a gap in the degree of three-dimen-sional utilization between Chinese and the U.S. shale oil. At present, China's shale oil is mostly utilized in one to two layers, with a maximum of 31 wells in three layers (Platform Hua 100); the stimulated horizontal well sec-tion is mostly 1500 m to 2500 m in length, and there is a gap in reserve control with the United States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[10]</w:t>
      </w:r>
      <w:r>
        <w:rPr>
          <w:rFonts w:ascii="Times New Roman" w:cs="Times New Roman" w:eastAsia="Times New Roman" w:hAnsi="Times New Roman"/>
          <w:sz w:val="19"/>
          <w:szCs w:val="19"/>
          <w:color w:val="auto"/>
        </w:rPr>
        <w:t>.</w:t>
      </w:r>
    </w:p>
    <w:p>
      <w:pPr>
        <w:spacing w:after="0" w:line="5" w:lineRule="exact"/>
        <w:rPr>
          <w:sz w:val="20"/>
          <w:szCs w:val="20"/>
          <w:color w:val="auto"/>
        </w:rPr>
      </w:pPr>
    </w:p>
    <w:p>
      <w:pPr>
        <w:jc w:val="both"/>
        <w:ind w:firstLine="193"/>
        <w:spacing w:after="0" w:line="284" w:lineRule="auto"/>
        <w:rPr>
          <w:sz w:val="20"/>
          <w:szCs w:val="20"/>
          <w:color w:val="auto"/>
        </w:rPr>
      </w:pPr>
      <w:r>
        <w:rPr>
          <w:rFonts w:ascii="Times New Roman" w:cs="Times New Roman" w:eastAsia="Times New Roman" w:hAnsi="Times New Roman"/>
          <w:sz w:val="19"/>
          <w:szCs w:val="19"/>
          <w:color w:val="auto"/>
        </w:rPr>
        <w:t>As for shale gas, the plane distribution of the sand body in the United States is stable and the horizontal stress difference is small, which makes it easy to form a fracture network structure after hydraulic fracturing and is conducive to the application of production enhance-ment and stimulation technology by long horizontal well sections. Currently the U.S. shale gas horizontal well sec-tions are 2300 m to 4300 m in length, with the longest being up to 6339.8 m (Well Mercury B 5H). In China, however, shale gas reservoirs are buried deeply, the thermal evolution degree of organic matter is high, and sand bodies are highly heterogeneous in the plane, with a large difference in bidirectional horizontal stress, so it is not easy to form a fracture network structure and the construction length of horizontal well section is limited after implementing horizontal well staged fracturing</w:t>
      </w:r>
    </w:p>
    <w:p>
      <w:pPr>
        <w:spacing w:after="0" w:line="20" w:lineRule="exact"/>
        <w:rPr>
          <w:sz w:val="20"/>
          <w:szCs w:val="20"/>
          <w:color w:val="auto"/>
        </w:rPr>
      </w:pPr>
      <w:r>
        <w:rPr>
          <w:sz w:val="20"/>
          <w:szCs w:val="20"/>
          <w:color w:val="auto"/>
        </w:rPr>
        <w:br w:type="column"/>
      </w:r>
    </w:p>
    <w:p>
      <w:pPr>
        <w:spacing w:after="0" w:line="307" w:lineRule="exact"/>
        <w:rPr>
          <w:sz w:val="20"/>
          <w:szCs w:val="20"/>
          <w:color w:val="auto"/>
        </w:rPr>
      </w:pPr>
    </w:p>
    <w:p>
      <w:pPr>
        <w:jc w:val="both"/>
        <w:spacing w:after="0" w:line="277" w:lineRule="auto"/>
        <w:rPr>
          <w:sz w:val="20"/>
          <w:szCs w:val="20"/>
          <w:color w:val="auto"/>
        </w:rPr>
      </w:pPr>
      <w:r>
        <w:rPr>
          <w:rFonts w:ascii="Times New Roman" w:cs="Times New Roman" w:eastAsia="Times New Roman" w:hAnsi="Times New Roman"/>
          <w:sz w:val="19"/>
          <w:szCs w:val="19"/>
          <w:color w:val="auto"/>
        </w:rPr>
        <w:t>stimulation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[11]</w:t>
      </w:r>
      <w:r>
        <w:rPr>
          <w:rFonts w:ascii="Times New Roman" w:cs="Times New Roman" w:eastAsia="Times New Roman" w:hAnsi="Times New Roman"/>
          <w:sz w:val="19"/>
          <w:szCs w:val="19"/>
          <w:color w:val="auto"/>
        </w:rPr>
        <w:t>. The current horizontal well section is mostly 1200 m to 2300 m long, with the longest being 3166 m (Ning 209H71-2). In addition, the U.S. shale gas reservoirs are thick in single layers, so three-dimensional fracturing technology is mostly adopted to achieve multi-layer utilization in longitudinal direction. Currently, the United States can realize three-dimensional utiliza-tion of shale gas in 3 to 5 layers, with a maximum of 51 wells in 8 layers (CRU-CD2).</w:t>
      </w:r>
    </w:p>
    <w:p>
      <w:pPr>
        <w:spacing w:after="0" w:line="384" w:lineRule="exact"/>
        <w:rPr>
          <w:sz w:val="20"/>
          <w:szCs w:val="20"/>
          <w:color w:val="auto"/>
        </w:rPr>
      </w:pPr>
    </w:p>
    <w:p>
      <w:pPr>
        <w:spacing w:after="0"/>
        <w:tabs>
          <w:tab w:leader="none" w:pos="460" w:val="left"/>
        </w:tabs>
        <w:rPr>
          <w:sz w:val="20"/>
          <w:szCs w:val="20"/>
          <w:color w:val="auto"/>
        </w:rPr>
      </w:pPr>
      <w:r>
        <w:rPr>
          <w:rFonts w:ascii="Times New Roman" w:cs="Times New Roman" w:eastAsia="Times New Roman" w:hAnsi="Times New Roman"/>
          <w:sz w:val="19"/>
          <w:szCs w:val="19"/>
          <w:b w:val="1"/>
          <w:bCs w:val="1"/>
          <w:color w:val="auto"/>
        </w:rPr>
        <w:t>1.3.</w:t>
        <w:tab/>
        <w:t>Gap in fracturing construction parameters</w:t>
      </w:r>
    </w:p>
    <w:p>
      <w:pPr>
        <w:spacing w:after="0" w:line="180" w:lineRule="exact"/>
        <w:rPr>
          <w:sz w:val="20"/>
          <w:szCs w:val="20"/>
          <w:color w:val="auto"/>
        </w:rPr>
      </w:pPr>
    </w:p>
    <w:p>
      <w:pPr>
        <w:jc w:val="both"/>
        <w:ind w:right="40" w:firstLine="193"/>
        <w:spacing w:after="0" w:line="281" w:lineRule="auto"/>
        <w:rPr>
          <w:sz w:val="20"/>
          <w:szCs w:val="20"/>
          <w:color w:val="auto"/>
        </w:rPr>
      </w:pPr>
      <w:r>
        <w:rPr>
          <w:rFonts w:ascii="Times New Roman" w:cs="Times New Roman" w:eastAsia="Times New Roman" w:hAnsi="Times New Roman"/>
          <w:sz w:val="19"/>
          <w:szCs w:val="19"/>
          <w:color w:val="auto"/>
        </w:rPr>
        <w:t>In recent years, both China and the United States have developed the main stimulation technology of “horizontal well completion + multi-cluster perforation + slick water carrying sand + quartz sand support + multi-stage frac-turing + fracture monitoring”</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[12]</w:t>
      </w:r>
      <w:r>
        <w:rPr>
          <w:rFonts w:ascii="Times New Roman" w:cs="Times New Roman" w:eastAsia="Times New Roman" w:hAnsi="Times New Roman"/>
          <w:sz w:val="19"/>
          <w:szCs w:val="19"/>
          <w:color w:val="auto"/>
        </w:rPr>
        <w:t>. The comparison of the construction parameters of horizontal wells in typical shale oil and gas blocks between China and the United States (Table 3 and Table 4) show that, for engineering effects, compared with China, shale oil/gas horizontal wells in the United States generally have longer well sec-tions, smaller cluster spacing, and more fractures and higher fracture density. For operation consumption, compared with the United States, China has significantly higher single-fracture sand ratio and construction dis-placement in horizontal shale oil and gas wells. In addi-tion, despite small difference in construction displace-ment between shale oil and shale gas horizontal wells in both countries, the single-fracture sand ratio of shale oil horizontal wells is significantly higher than that of shale</w:t>
      </w:r>
    </w:p>
    <w:p>
      <w:pPr>
        <w:spacing w:after="0" w:line="233" w:lineRule="exact"/>
        <w:rPr>
          <w:sz w:val="20"/>
          <w:szCs w:val="20"/>
          <w:color w:val="auto"/>
        </w:rPr>
      </w:pPr>
    </w:p>
    <w:p>
      <w:pPr>
        <w:sectPr>
          <w:pgSz w:w="11900" w:h="16840" w:orient="portrait"/>
          <w:cols w:equalWidth="0" w:num="2">
            <w:col w:w="4760" w:space="460"/>
            <w:col w:w="4800"/>
          </w:cols>
          <w:pgMar w:left="960" w:top="1015" w:right="924" w:bottom="381" w:gutter="0" w:footer="0" w:header="0"/>
          <w:type w:val="continuous"/>
        </w:sectPr>
      </w:pPr>
    </w:p>
    <w:p>
      <w:pPr>
        <w:spacing w:after="0" w:line="269" w:lineRule="exact"/>
        <w:rPr>
          <w:sz w:val="20"/>
          <w:szCs w:val="20"/>
          <w:color w:val="auto"/>
        </w:rPr>
      </w:pPr>
    </w:p>
    <w:p>
      <w:pPr>
        <w:spacing w:after="0"/>
        <w:tabs>
          <w:tab w:leader="none" w:pos="800" w:val="left"/>
        </w:tabs>
        <w:rPr>
          <w:sz w:val="20"/>
          <w:szCs w:val="20"/>
          <w:color w:val="auto"/>
        </w:rPr>
      </w:pPr>
      <w:r>
        <w:rPr>
          <w:rFonts w:ascii="Arial" w:cs="Arial" w:eastAsia="Arial" w:hAnsi="Arial"/>
          <w:sz w:val="17"/>
          <w:szCs w:val="17"/>
          <w:b w:val="1"/>
          <w:bCs w:val="1"/>
          <w:color w:val="auto"/>
        </w:rPr>
        <w:t>Table 3.</w:t>
        <w:tab/>
        <w:t>Comparison of horizontal-well construction parameters of typical shale oil blocks between China and the United</w:t>
      </w:r>
    </w:p>
    <w:p>
      <w:pPr>
        <w:spacing w:after="0" w:line="65" w:lineRule="exact"/>
        <w:rPr>
          <w:sz w:val="20"/>
          <w:szCs w:val="20"/>
          <w:color w:val="auto"/>
        </w:rPr>
      </w:pPr>
    </w:p>
    <w:tbl>
      <w:tblPr>
        <w:tblLayout w:type="fixed"/>
        <w:tblInd w:w="0" w:type="dxa"/>
        <w:tblCellMar>
          <w:top w:w="0" w:type="dxa"/>
          <w:left w:w="0" w:type="dxa"/>
          <w:bottom w:w="0" w:type="dxa"/>
          <w:right w:w="0" w:type="dxa"/>
        </w:tblCellMar>
      </w:tblPr>
      <w:tr>
        <w:trPr>
          <w:trHeight w:val="242"/>
        </w:trPr>
        <w:tc>
          <w:tcPr>
            <w:tcW w:w="740" w:type="dxa"/>
            <w:vAlign w:val="bottom"/>
          </w:tcPr>
          <w:p>
            <w:pPr>
              <w:spacing w:after="0"/>
              <w:rPr>
                <w:sz w:val="20"/>
                <w:szCs w:val="20"/>
                <w:color w:val="auto"/>
              </w:rPr>
            </w:pPr>
            <w:r>
              <w:rPr>
                <w:rFonts w:ascii="Arial" w:cs="Arial" w:eastAsia="Arial" w:hAnsi="Arial"/>
                <w:sz w:val="17"/>
                <w:szCs w:val="17"/>
                <w:b w:val="1"/>
                <w:bCs w:val="1"/>
                <w:color w:val="auto"/>
              </w:rPr>
              <w:t>States</w:t>
            </w:r>
          </w:p>
        </w:tc>
        <w:tc>
          <w:tcPr>
            <w:tcW w:w="82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720" w:type="dxa"/>
            <w:vAlign w:val="bottom"/>
          </w:tcPr>
          <w:p>
            <w:pPr>
              <w:spacing w:after="0"/>
              <w:rPr>
                <w:sz w:val="21"/>
                <w:szCs w:val="21"/>
                <w:color w:val="auto"/>
              </w:rPr>
            </w:pPr>
          </w:p>
        </w:tc>
        <w:tc>
          <w:tcPr>
            <w:tcW w:w="8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660" w:type="dxa"/>
            <w:vAlign w:val="bottom"/>
          </w:tcPr>
          <w:p>
            <w:pPr>
              <w:spacing w:after="0"/>
              <w:rPr>
                <w:sz w:val="21"/>
                <w:szCs w:val="21"/>
                <w:color w:val="auto"/>
              </w:rPr>
            </w:pPr>
          </w:p>
        </w:tc>
        <w:tc>
          <w:tcPr>
            <w:tcW w:w="840" w:type="dxa"/>
            <w:vAlign w:val="bottom"/>
          </w:tcPr>
          <w:p>
            <w:pPr>
              <w:spacing w:after="0"/>
              <w:rPr>
                <w:sz w:val="21"/>
                <w:szCs w:val="21"/>
                <w:color w:val="auto"/>
              </w:rPr>
            </w:pPr>
          </w:p>
        </w:tc>
        <w:tc>
          <w:tcPr>
            <w:tcW w:w="100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8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7"/>
        </w:trPr>
        <w:tc>
          <w:tcPr>
            <w:tcW w:w="740" w:type="dxa"/>
            <w:vAlign w:val="bottom"/>
            <w:tcBorders>
              <w:bottom w:val="single" w:sz="8" w:color="auto"/>
            </w:tcBorders>
          </w:tcPr>
          <w:p>
            <w:pPr>
              <w:spacing w:after="0"/>
              <w:rPr>
                <w:sz w:val="2"/>
                <w:szCs w:val="2"/>
                <w:color w:val="auto"/>
              </w:rPr>
            </w:pPr>
          </w:p>
        </w:tc>
        <w:tc>
          <w:tcPr>
            <w:tcW w:w="1580" w:type="dxa"/>
            <w:vAlign w:val="bottom"/>
            <w:tcBorders>
              <w:bottom w:val="single" w:sz="8" w:color="auto"/>
            </w:tcBorders>
            <w:gridSpan w:val="2"/>
          </w:tcPr>
          <w:p>
            <w:pPr>
              <w:spacing w:after="0"/>
              <w:rPr>
                <w:sz w:val="2"/>
                <w:szCs w:val="2"/>
                <w:color w:val="auto"/>
              </w:rPr>
            </w:pPr>
          </w:p>
        </w:tc>
        <w:tc>
          <w:tcPr>
            <w:tcW w:w="720" w:type="dxa"/>
            <w:vAlign w:val="bottom"/>
            <w:tcBorders>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c>
          <w:tcPr>
            <w:tcW w:w="1020" w:type="dxa"/>
            <w:vAlign w:val="bottom"/>
            <w:tcBorders>
              <w:bottom w:val="single" w:sz="8" w:color="auto"/>
            </w:tcBorders>
          </w:tcPr>
          <w:p>
            <w:pPr>
              <w:spacing w:after="0"/>
              <w:rPr>
                <w:sz w:val="2"/>
                <w:szCs w:val="2"/>
                <w:color w:val="auto"/>
              </w:rPr>
            </w:pPr>
          </w:p>
        </w:tc>
        <w:tc>
          <w:tcPr>
            <w:tcW w:w="22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84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c>
          <w:tcPr>
            <w:tcW w:w="86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61"/>
        </w:trPr>
        <w:tc>
          <w:tcPr>
            <w:tcW w:w="740" w:type="dxa"/>
            <w:vAlign w:val="bottom"/>
          </w:tcPr>
          <w:p>
            <w:pPr>
              <w:spacing w:after="0"/>
              <w:rPr>
                <w:sz w:val="22"/>
                <w:szCs w:val="22"/>
                <w:color w:val="auto"/>
              </w:rPr>
            </w:pPr>
          </w:p>
        </w:tc>
        <w:tc>
          <w:tcPr>
            <w:tcW w:w="1580" w:type="dxa"/>
            <w:vAlign w:val="bottom"/>
            <w:gridSpan w:val="2"/>
          </w:tcPr>
          <w:p>
            <w:pPr>
              <w:ind w:left="60"/>
              <w:spacing w:after="0"/>
              <w:rPr>
                <w:sz w:val="20"/>
                <w:szCs w:val="20"/>
                <w:color w:val="auto"/>
              </w:rPr>
            </w:pPr>
            <w:r>
              <w:rPr>
                <w:rFonts w:ascii="Arial" w:cs="Arial" w:eastAsia="Arial" w:hAnsi="Arial"/>
                <w:sz w:val="17"/>
                <w:szCs w:val="17"/>
                <w:color w:val="auto"/>
              </w:rPr>
              <w:t>Length of Length of</w:t>
            </w:r>
          </w:p>
        </w:tc>
        <w:tc>
          <w:tcPr>
            <w:tcW w:w="720" w:type="dxa"/>
            <w:vAlign w:val="bottom"/>
          </w:tcPr>
          <w:p>
            <w:pPr>
              <w:jc w:val="center"/>
              <w:spacing w:after="0"/>
              <w:rPr>
                <w:sz w:val="20"/>
                <w:szCs w:val="20"/>
                <w:color w:val="auto"/>
              </w:rPr>
            </w:pPr>
            <w:r>
              <w:rPr>
                <w:rFonts w:ascii="Arial" w:cs="Arial" w:eastAsia="Arial" w:hAnsi="Arial"/>
                <w:sz w:val="17"/>
                <w:szCs w:val="17"/>
                <w:color w:val="auto"/>
              </w:rPr>
              <w:t>Cluster</w:t>
            </w:r>
          </w:p>
        </w:tc>
        <w:tc>
          <w:tcPr>
            <w:tcW w:w="880" w:type="dxa"/>
            <w:vAlign w:val="bottom"/>
          </w:tcPr>
          <w:p>
            <w:pPr>
              <w:jc w:val="center"/>
              <w:spacing w:after="0"/>
              <w:rPr>
                <w:sz w:val="20"/>
                <w:szCs w:val="20"/>
                <w:color w:val="auto"/>
              </w:rPr>
            </w:pPr>
            <w:r>
              <w:rPr>
                <w:rFonts w:ascii="Arial" w:cs="Arial" w:eastAsia="Arial" w:hAnsi="Arial"/>
                <w:sz w:val="17"/>
                <w:szCs w:val="17"/>
                <w:color w:val="auto"/>
              </w:rPr>
              <w:t>Number of</w:t>
            </w:r>
          </w:p>
        </w:tc>
        <w:tc>
          <w:tcPr>
            <w:tcW w:w="740" w:type="dxa"/>
            <w:vAlign w:val="bottom"/>
          </w:tcPr>
          <w:p>
            <w:pPr>
              <w:jc w:val="center"/>
              <w:spacing w:after="0"/>
              <w:rPr>
                <w:sz w:val="20"/>
                <w:szCs w:val="20"/>
                <w:color w:val="auto"/>
              </w:rPr>
            </w:pPr>
            <w:r>
              <w:rPr>
                <w:rFonts w:ascii="Arial" w:cs="Arial" w:eastAsia="Arial" w:hAnsi="Arial"/>
                <w:sz w:val="17"/>
                <w:szCs w:val="17"/>
                <w:color w:val="auto"/>
              </w:rPr>
              <w:t>Number</w:t>
            </w:r>
          </w:p>
        </w:tc>
        <w:tc>
          <w:tcPr>
            <w:tcW w:w="1020" w:type="dxa"/>
            <w:vAlign w:val="bottom"/>
          </w:tcPr>
          <w:p>
            <w:pPr>
              <w:jc w:val="center"/>
              <w:ind w:left="135"/>
              <w:spacing w:after="0"/>
              <w:rPr>
                <w:sz w:val="20"/>
                <w:szCs w:val="20"/>
                <w:color w:val="auto"/>
              </w:rPr>
            </w:pPr>
            <w:r>
              <w:rPr>
                <w:rFonts w:ascii="Arial" w:cs="Arial" w:eastAsia="Arial" w:hAnsi="Arial"/>
                <w:sz w:val="17"/>
                <w:szCs w:val="17"/>
                <w:color w:val="auto"/>
              </w:rPr>
              <w:t>Fracture</w:t>
            </w:r>
          </w:p>
        </w:tc>
        <w:tc>
          <w:tcPr>
            <w:tcW w:w="220" w:type="dxa"/>
            <w:vAlign w:val="bottom"/>
          </w:tcPr>
          <w:p>
            <w:pPr>
              <w:spacing w:after="0"/>
              <w:rPr>
                <w:sz w:val="22"/>
                <w:szCs w:val="22"/>
                <w:color w:val="auto"/>
              </w:rPr>
            </w:pPr>
          </w:p>
        </w:tc>
        <w:tc>
          <w:tcPr>
            <w:tcW w:w="660" w:type="dxa"/>
            <w:vAlign w:val="bottom"/>
          </w:tcPr>
          <w:p>
            <w:pPr>
              <w:jc w:val="center"/>
              <w:spacing w:after="0"/>
              <w:rPr>
                <w:sz w:val="20"/>
                <w:szCs w:val="20"/>
                <w:color w:val="auto"/>
              </w:rPr>
            </w:pPr>
            <w:r>
              <w:rPr>
                <w:rFonts w:ascii="Arial" w:cs="Arial" w:eastAsia="Arial" w:hAnsi="Arial"/>
                <w:sz w:val="17"/>
                <w:szCs w:val="17"/>
                <w:color w:val="auto"/>
              </w:rPr>
              <w:t>Single-</w:t>
            </w:r>
          </w:p>
        </w:tc>
        <w:tc>
          <w:tcPr>
            <w:tcW w:w="840" w:type="dxa"/>
            <w:vAlign w:val="bottom"/>
          </w:tcPr>
          <w:p>
            <w:pPr>
              <w:jc w:val="center"/>
              <w:spacing w:after="0"/>
              <w:rPr>
                <w:sz w:val="20"/>
                <w:szCs w:val="20"/>
                <w:color w:val="auto"/>
              </w:rPr>
            </w:pPr>
            <w:r>
              <w:rPr>
                <w:rFonts w:ascii="Arial" w:cs="Arial" w:eastAsia="Arial" w:hAnsi="Arial"/>
                <w:sz w:val="17"/>
                <w:szCs w:val="17"/>
                <w:color w:val="auto"/>
                <w:w w:val="98"/>
              </w:rPr>
              <w:t>Single-</w:t>
            </w:r>
          </w:p>
        </w:tc>
        <w:tc>
          <w:tcPr>
            <w:tcW w:w="1000" w:type="dxa"/>
            <w:vAlign w:val="bottom"/>
          </w:tcPr>
          <w:p>
            <w:pPr>
              <w:jc w:val="center"/>
              <w:spacing w:after="0"/>
              <w:rPr>
                <w:sz w:val="20"/>
                <w:szCs w:val="20"/>
                <w:color w:val="auto"/>
              </w:rPr>
            </w:pPr>
            <w:r>
              <w:rPr>
                <w:rFonts w:ascii="Arial" w:cs="Arial" w:eastAsia="Arial" w:hAnsi="Arial"/>
                <w:sz w:val="17"/>
                <w:szCs w:val="17"/>
                <w:color w:val="auto"/>
              </w:rPr>
              <w:t>Construction</w:t>
            </w:r>
          </w:p>
        </w:tc>
        <w:tc>
          <w:tcPr>
            <w:tcW w:w="740" w:type="dxa"/>
            <w:vAlign w:val="bottom"/>
          </w:tcPr>
          <w:p>
            <w:pPr>
              <w:jc w:val="center"/>
              <w:spacing w:after="0"/>
              <w:rPr>
                <w:sz w:val="20"/>
                <w:szCs w:val="20"/>
                <w:color w:val="auto"/>
              </w:rPr>
            </w:pPr>
            <w:r>
              <w:rPr>
                <w:rFonts w:ascii="Arial" w:cs="Arial" w:eastAsia="Arial" w:hAnsi="Arial"/>
                <w:sz w:val="17"/>
                <w:szCs w:val="17"/>
                <w:color w:val="auto"/>
                <w:w w:val="99"/>
              </w:rPr>
              <w:t>Sanding</w:t>
            </w:r>
          </w:p>
        </w:tc>
        <w:tc>
          <w:tcPr>
            <w:tcW w:w="860" w:type="dxa"/>
            <w:vAlign w:val="bottom"/>
          </w:tcPr>
          <w:p>
            <w:pPr>
              <w:jc w:val="center"/>
              <w:spacing w:after="0"/>
              <w:rPr>
                <w:sz w:val="20"/>
                <w:szCs w:val="20"/>
                <w:color w:val="auto"/>
              </w:rPr>
            </w:pPr>
            <w:r>
              <w:rPr>
                <w:rFonts w:ascii="Arial" w:cs="Arial" w:eastAsia="Arial" w:hAnsi="Arial"/>
                <w:sz w:val="17"/>
                <w:szCs w:val="17"/>
                <w:color w:val="auto"/>
                <w:w w:val="99"/>
              </w:rPr>
              <w:t>Fracturing</w:t>
            </w:r>
          </w:p>
        </w:tc>
        <w:tc>
          <w:tcPr>
            <w:tcW w:w="0" w:type="dxa"/>
            <w:vAlign w:val="bottom"/>
          </w:tcPr>
          <w:p>
            <w:pPr>
              <w:spacing w:after="0"/>
              <w:rPr>
                <w:sz w:val="1"/>
                <w:szCs w:val="1"/>
                <w:color w:val="auto"/>
              </w:rPr>
            </w:pPr>
          </w:p>
        </w:tc>
      </w:tr>
      <w:tr>
        <w:trPr>
          <w:trHeight w:val="196"/>
        </w:trPr>
        <w:tc>
          <w:tcPr>
            <w:tcW w:w="740" w:type="dxa"/>
            <w:vAlign w:val="bottom"/>
          </w:tcPr>
          <w:p>
            <w:pPr>
              <w:ind w:left="40"/>
              <w:spacing w:after="0"/>
              <w:rPr>
                <w:sz w:val="20"/>
                <w:szCs w:val="20"/>
                <w:color w:val="auto"/>
              </w:rPr>
            </w:pPr>
            <w:r>
              <w:rPr>
                <w:rFonts w:ascii="Arial" w:cs="Arial" w:eastAsia="Arial" w:hAnsi="Arial"/>
                <w:sz w:val="17"/>
                <w:szCs w:val="17"/>
                <w:color w:val="auto"/>
              </w:rPr>
              <w:t>Block</w:t>
            </w:r>
          </w:p>
        </w:tc>
        <w:tc>
          <w:tcPr>
            <w:tcW w:w="820" w:type="dxa"/>
            <w:vAlign w:val="bottom"/>
          </w:tcPr>
          <w:p>
            <w:pPr>
              <w:jc w:val="center"/>
              <w:spacing w:after="0"/>
              <w:rPr>
                <w:sz w:val="20"/>
                <w:szCs w:val="20"/>
                <w:color w:val="auto"/>
              </w:rPr>
            </w:pPr>
            <w:r>
              <w:rPr>
                <w:rFonts w:ascii="Arial" w:cs="Arial" w:eastAsia="Arial" w:hAnsi="Arial"/>
                <w:sz w:val="17"/>
                <w:szCs w:val="17"/>
                <w:color w:val="auto"/>
              </w:rPr>
              <w:t>horizontal</w:t>
            </w:r>
          </w:p>
        </w:tc>
        <w:tc>
          <w:tcPr>
            <w:tcW w:w="760" w:type="dxa"/>
            <w:vAlign w:val="bottom"/>
          </w:tcPr>
          <w:p>
            <w:pPr>
              <w:jc w:val="center"/>
              <w:spacing w:after="0"/>
              <w:rPr>
                <w:sz w:val="20"/>
                <w:szCs w:val="20"/>
                <w:color w:val="auto"/>
              </w:rPr>
            </w:pPr>
            <w:r>
              <w:rPr>
                <w:rFonts w:ascii="Arial" w:cs="Arial" w:eastAsia="Arial" w:hAnsi="Arial"/>
                <w:sz w:val="17"/>
                <w:szCs w:val="17"/>
                <w:color w:val="auto"/>
              </w:rPr>
              <w:t>fractured</w:t>
            </w:r>
          </w:p>
        </w:tc>
        <w:tc>
          <w:tcPr>
            <w:tcW w:w="720" w:type="dxa"/>
            <w:vAlign w:val="bottom"/>
          </w:tcPr>
          <w:p>
            <w:pPr>
              <w:jc w:val="center"/>
              <w:spacing w:after="0"/>
              <w:rPr>
                <w:sz w:val="20"/>
                <w:szCs w:val="20"/>
                <w:color w:val="auto"/>
              </w:rPr>
            </w:pPr>
            <w:r>
              <w:rPr>
                <w:rFonts w:ascii="Arial" w:cs="Arial" w:eastAsia="Arial" w:hAnsi="Arial"/>
                <w:sz w:val="17"/>
                <w:szCs w:val="17"/>
                <w:color w:val="auto"/>
              </w:rPr>
              <w:t>spacing/</w:t>
            </w:r>
          </w:p>
        </w:tc>
        <w:tc>
          <w:tcPr>
            <w:tcW w:w="880" w:type="dxa"/>
            <w:vAlign w:val="bottom"/>
          </w:tcPr>
          <w:p>
            <w:pPr>
              <w:jc w:val="center"/>
              <w:spacing w:after="0"/>
              <w:rPr>
                <w:sz w:val="20"/>
                <w:szCs w:val="20"/>
                <w:color w:val="auto"/>
              </w:rPr>
            </w:pPr>
            <w:r>
              <w:rPr>
                <w:rFonts w:ascii="Arial" w:cs="Arial" w:eastAsia="Arial" w:hAnsi="Arial"/>
                <w:sz w:val="17"/>
                <w:szCs w:val="17"/>
                <w:color w:val="auto"/>
                <w:w w:val="99"/>
              </w:rPr>
              <w:t>clusters in</w:t>
            </w:r>
          </w:p>
        </w:tc>
        <w:tc>
          <w:tcPr>
            <w:tcW w:w="740" w:type="dxa"/>
            <w:vAlign w:val="bottom"/>
          </w:tcPr>
          <w:p>
            <w:pPr>
              <w:jc w:val="center"/>
              <w:spacing w:after="0"/>
              <w:rPr>
                <w:sz w:val="20"/>
                <w:szCs w:val="20"/>
                <w:color w:val="auto"/>
              </w:rPr>
            </w:pPr>
            <w:r>
              <w:rPr>
                <w:rFonts w:ascii="Arial" w:cs="Arial" w:eastAsia="Arial" w:hAnsi="Arial"/>
                <w:sz w:val="17"/>
                <w:szCs w:val="17"/>
                <w:color w:val="auto"/>
              </w:rPr>
              <w:t>of frac-</w:t>
            </w:r>
          </w:p>
        </w:tc>
        <w:tc>
          <w:tcPr>
            <w:tcW w:w="1020" w:type="dxa"/>
            <w:vAlign w:val="bottom"/>
          </w:tcPr>
          <w:p>
            <w:pPr>
              <w:jc w:val="center"/>
              <w:ind w:left="135"/>
              <w:spacing w:after="0"/>
              <w:rPr>
                <w:sz w:val="20"/>
                <w:szCs w:val="20"/>
                <w:color w:val="auto"/>
              </w:rPr>
            </w:pPr>
            <w:r>
              <w:rPr>
                <w:rFonts w:ascii="Arial" w:cs="Arial" w:eastAsia="Arial" w:hAnsi="Arial"/>
                <w:sz w:val="17"/>
                <w:szCs w:val="17"/>
                <w:color w:val="auto"/>
              </w:rPr>
              <w:t>density/</w:t>
            </w:r>
          </w:p>
        </w:tc>
        <w:tc>
          <w:tcPr>
            <w:tcW w:w="220" w:type="dxa"/>
            <w:vAlign w:val="bottom"/>
            <w:vMerge w:val="restart"/>
          </w:tcPr>
          <w:p>
            <w:pPr>
              <w:jc w:val="right"/>
              <w:ind w:right="30"/>
              <w:spacing w:after="0"/>
              <w:rPr>
                <w:sz w:val="20"/>
                <w:szCs w:val="20"/>
                <w:color w:val="auto"/>
              </w:rPr>
            </w:pPr>
            <w:r>
              <w:rPr>
                <w:rFonts w:ascii="Arial" w:cs="Arial" w:eastAsia="Arial" w:hAnsi="Arial"/>
                <w:sz w:val="11"/>
                <w:szCs w:val="11"/>
                <w:color w:val="auto"/>
                <w:w w:val="79"/>
              </w:rPr>
              <w:t>−1</w:t>
            </w:r>
          </w:p>
        </w:tc>
        <w:tc>
          <w:tcPr>
            <w:tcW w:w="660" w:type="dxa"/>
            <w:vAlign w:val="bottom"/>
          </w:tcPr>
          <w:p>
            <w:pPr>
              <w:jc w:val="center"/>
              <w:spacing w:after="0"/>
              <w:rPr>
                <w:sz w:val="20"/>
                <w:szCs w:val="20"/>
                <w:color w:val="auto"/>
              </w:rPr>
            </w:pPr>
            <w:r>
              <w:rPr>
                <w:rFonts w:ascii="Arial" w:cs="Arial" w:eastAsia="Arial" w:hAnsi="Arial"/>
                <w:sz w:val="17"/>
                <w:szCs w:val="17"/>
                <w:color w:val="auto"/>
              </w:rPr>
              <w:t>fracture</w:t>
            </w:r>
          </w:p>
        </w:tc>
        <w:tc>
          <w:tcPr>
            <w:tcW w:w="840" w:type="dxa"/>
            <w:vAlign w:val="bottom"/>
          </w:tcPr>
          <w:p>
            <w:pPr>
              <w:jc w:val="center"/>
              <w:spacing w:after="0"/>
              <w:rPr>
                <w:sz w:val="20"/>
                <w:szCs w:val="20"/>
                <w:color w:val="auto"/>
              </w:rPr>
            </w:pPr>
            <w:r>
              <w:rPr>
                <w:rFonts w:ascii="Arial" w:cs="Arial" w:eastAsia="Arial" w:hAnsi="Arial"/>
                <w:sz w:val="17"/>
                <w:szCs w:val="17"/>
                <w:color w:val="auto"/>
                <w:w w:val="97"/>
              </w:rPr>
              <w:t>fracture</w:t>
            </w:r>
          </w:p>
        </w:tc>
        <w:tc>
          <w:tcPr>
            <w:tcW w:w="1000" w:type="dxa"/>
            <w:vAlign w:val="bottom"/>
          </w:tcPr>
          <w:p>
            <w:pPr>
              <w:jc w:val="center"/>
              <w:spacing w:after="0"/>
              <w:rPr>
                <w:sz w:val="20"/>
                <w:szCs w:val="20"/>
                <w:color w:val="auto"/>
              </w:rPr>
            </w:pPr>
            <w:r>
              <w:rPr>
                <w:rFonts w:ascii="Arial" w:cs="Arial" w:eastAsia="Arial" w:hAnsi="Arial"/>
                <w:sz w:val="17"/>
                <w:szCs w:val="17"/>
                <w:color w:val="auto"/>
                <w:w w:val="99"/>
              </w:rPr>
              <w:t>displace-</w:t>
            </w:r>
          </w:p>
        </w:tc>
        <w:tc>
          <w:tcPr>
            <w:tcW w:w="740" w:type="dxa"/>
            <w:vAlign w:val="bottom"/>
          </w:tcPr>
          <w:p>
            <w:pPr>
              <w:jc w:val="center"/>
              <w:spacing w:after="0"/>
              <w:rPr>
                <w:sz w:val="20"/>
                <w:szCs w:val="20"/>
                <w:color w:val="auto"/>
              </w:rPr>
            </w:pPr>
            <w:r>
              <w:rPr>
                <w:rFonts w:ascii="Arial" w:cs="Arial" w:eastAsia="Arial" w:hAnsi="Arial"/>
                <w:sz w:val="17"/>
                <w:szCs w:val="17"/>
                <w:color w:val="auto"/>
                <w:w w:val="98"/>
              </w:rPr>
              <w:t>intensity/</w:t>
            </w:r>
          </w:p>
        </w:tc>
        <w:tc>
          <w:tcPr>
            <w:tcW w:w="860" w:type="dxa"/>
            <w:vAlign w:val="bottom"/>
          </w:tcPr>
          <w:p>
            <w:pPr>
              <w:jc w:val="center"/>
              <w:spacing w:after="0"/>
              <w:rPr>
                <w:sz w:val="20"/>
                <w:szCs w:val="20"/>
                <w:color w:val="auto"/>
              </w:rPr>
            </w:pPr>
            <w:r>
              <w:rPr>
                <w:rFonts w:ascii="Arial" w:cs="Arial" w:eastAsia="Arial" w:hAnsi="Arial"/>
                <w:sz w:val="17"/>
                <w:szCs w:val="17"/>
                <w:color w:val="auto"/>
              </w:rPr>
              <w:t>fluid</w:t>
            </w:r>
          </w:p>
        </w:tc>
        <w:tc>
          <w:tcPr>
            <w:tcW w:w="0" w:type="dxa"/>
            <w:vAlign w:val="bottom"/>
          </w:tcPr>
          <w:p>
            <w:pPr>
              <w:spacing w:after="0"/>
              <w:rPr>
                <w:sz w:val="1"/>
                <w:szCs w:val="1"/>
                <w:color w:val="auto"/>
              </w:rPr>
            </w:pPr>
          </w:p>
        </w:tc>
      </w:tr>
      <w:tr>
        <w:trPr>
          <w:trHeight w:val="98"/>
        </w:trPr>
        <w:tc>
          <w:tcPr>
            <w:tcW w:w="740" w:type="dxa"/>
            <w:vAlign w:val="bottom"/>
          </w:tcPr>
          <w:p>
            <w:pPr>
              <w:spacing w:after="0"/>
              <w:rPr>
                <w:sz w:val="8"/>
                <w:szCs w:val="8"/>
                <w:color w:val="auto"/>
              </w:rPr>
            </w:pPr>
          </w:p>
        </w:tc>
        <w:tc>
          <w:tcPr>
            <w:tcW w:w="820" w:type="dxa"/>
            <w:vAlign w:val="bottom"/>
          </w:tcPr>
          <w:p>
            <w:pPr>
              <w:jc w:val="center"/>
              <w:spacing w:after="0" w:line="99" w:lineRule="exact"/>
              <w:rPr>
                <w:sz w:val="20"/>
                <w:szCs w:val="20"/>
                <w:color w:val="auto"/>
              </w:rPr>
            </w:pPr>
            <w:r>
              <w:rPr>
                <w:rFonts w:ascii="Arial" w:cs="Arial" w:eastAsia="Arial" w:hAnsi="Arial"/>
                <w:sz w:val="11"/>
                <w:szCs w:val="11"/>
                <w:color w:val="auto"/>
              </w:rPr>
              <w:t>section/</w:t>
            </w:r>
          </w:p>
        </w:tc>
        <w:tc>
          <w:tcPr>
            <w:tcW w:w="760" w:type="dxa"/>
            <w:vAlign w:val="bottom"/>
          </w:tcPr>
          <w:p>
            <w:pPr>
              <w:jc w:val="center"/>
              <w:spacing w:after="0" w:line="99" w:lineRule="exact"/>
              <w:rPr>
                <w:sz w:val="20"/>
                <w:szCs w:val="20"/>
                <w:color w:val="auto"/>
              </w:rPr>
            </w:pPr>
            <w:r>
              <w:rPr>
                <w:rFonts w:ascii="Arial" w:cs="Arial" w:eastAsia="Arial" w:hAnsi="Arial"/>
                <w:sz w:val="11"/>
                <w:szCs w:val="11"/>
                <w:color w:val="auto"/>
              </w:rPr>
              <w:t>section/</w:t>
            </w:r>
          </w:p>
        </w:tc>
        <w:tc>
          <w:tcPr>
            <w:tcW w:w="720" w:type="dxa"/>
            <w:vAlign w:val="bottom"/>
            <w:vMerge w:val="restart"/>
          </w:tcPr>
          <w:p>
            <w:pPr>
              <w:jc w:val="center"/>
              <w:spacing w:after="0"/>
              <w:rPr>
                <w:sz w:val="20"/>
                <w:szCs w:val="20"/>
                <w:color w:val="auto"/>
              </w:rPr>
            </w:pPr>
            <w:r>
              <w:rPr>
                <w:rFonts w:ascii="Arial" w:cs="Arial" w:eastAsia="Arial" w:hAnsi="Arial"/>
                <w:sz w:val="17"/>
                <w:szCs w:val="17"/>
                <w:color w:val="auto"/>
                <w:w w:val="98"/>
              </w:rPr>
              <w:t>m</w:t>
            </w:r>
          </w:p>
        </w:tc>
        <w:tc>
          <w:tcPr>
            <w:tcW w:w="880" w:type="dxa"/>
            <w:vAlign w:val="bottom"/>
          </w:tcPr>
          <w:p>
            <w:pPr>
              <w:jc w:val="center"/>
              <w:spacing w:after="0" w:line="99" w:lineRule="exact"/>
              <w:rPr>
                <w:sz w:val="20"/>
                <w:szCs w:val="20"/>
                <w:color w:val="auto"/>
              </w:rPr>
            </w:pPr>
            <w:r>
              <w:rPr>
                <w:rFonts w:ascii="Arial" w:cs="Arial" w:eastAsia="Arial" w:hAnsi="Arial"/>
                <w:sz w:val="11"/>
                <w:szCs w:val="11"/>
                <w:color w:val="auto"/>
              </w:rPr>
              <w:t>a single</w:t>
            </w:r>
          </w:p>
        </w:tc>
        <w:tc>
          <w:tcPr>
            <w:tcW w:w="740" w:type="dxa"/>
            <w:vAlign w:val="bottom"/>
            <w:vMerge w:val="restart"/>
          </w:tcPr>
          <w:p>
            <w:pPr>
              <w:jc w:val="center"/>
              <w:spacing w:after="0"/>
              <w:rPr>
                <w:sz w:val="20"/>
                <w:szCs w:val="20"/>
                <w:color w:val="auto"/>
              </w:rPr>
            </w:pPr>
            <w:r>
              <w:rPr>
                <w:rFonts w:ascii="Arial" w:cs="Arial" w:eastAsia="Arial" w:hAnsi="Arial"/>
                <w:sz w:val="17"/>
                <w:szCs w:val="17"/>
                <w:color w:val="auto"/>
              </w:rPr>
              <w:t>tures</w:t>
            </w:r>
          </w:p>
        </w:tc>
        <w:tc>
          <w:tcPr>
            <w:tcW w:w="1020" w:type="dxa"/>
            <w:vAlign w:val="bottom"/>
          </w:tcPr>
          <w:p>
            <w:pPr>
              <w:spacing w:after="0"/>
              <w:rPr>
                <w:sz w:val="8"/>
                <w:szCs w:val="8"/>
                <w:color w:val="auto"/>
              </w:rPr>
            </w:pPr>
          </w:p>
        </w:tc>
        <w:tc>
          <w:tcPr>
            <w:tcW w:w="220" w:type="dxa"/>
            <w:vAlign w:val="bottom"/>
            <w:vMerge w:val="continue"/>
          </w:tcPr>
          <w:p>
            <w:pPr>
              <w:spacing w:after="0"/>
              <w:rPr>
                <w:sz w:val="8"/>
                <w:szCs w:val="8"/>
                <w:color w:val="auto"/>
              </w:rPr>
            </w:pPr>
          </w:p>
        </w:tc>
        <w:tc>
          <w:tcPr>
            <w:tcW w:w="660" w:type="dxa"/>
            <w:vAlign w:val="bottom"/>
          </w:tcPr>
          <w:p>
            <w:pPr>
              <w:jc w:val="center"/>
              <w:spacing w:after="0" w:line="99" w:lineRule="exact"/>
              <w:rPr>
                <w:sz w:val="20"/>
                <w:szCs w:val="20"/>
                <w:color w:val="auto"/>
              </w:rPr>
            </w:pPr>
            <w:r>
              <w:rPr>
                <w:rFonts w:ascii="Arial" w:cs="Arial" w:eastAsia="Arial" w:hAnsi="Arial"/>
                <w:sz w:val="11"/>
                <w:szCs w:val="11"/>
                <w:color w:val="auto"/>
              </w:rPr>
              <w:t>sand</w:t>
            </w:r>
          </w:p>
        </w:tc>
        <w:tc>
          <w:tcPr>
            <w:tcW w:w="840" w:type="dxa"/>
            <w:vAlign w:val="bottom"/>
          </w:tcPr>
          <w:p>
            <w:pPr>
              <w:jc w:val="center"/>
              <w:spacing w:after="0" w:line="99" w:lineRule="exact"/>
              <w:rPr>
                <w:sz w:val="20"/>
                <w:szCs w:val="20"/>
                <w:color w:val="auto"/>
              </w:rPr>
            </w:pPr>
            <w:r>
              <w:rPr>
                <w:rFonts w:ascii="Arial" w:cs="Arial" w:eastAsia="Arial" w:hAnsi="Arial"/>
                <w:sz w:val="11"/>
                <w:szCs w:val="11"/>
                <w:color w:val="auto"/>
              </w:rPr>
              <w:t>sand</w:t>
            </w:r>
          </w:p>
        </w:tc>
        <w:tc>
          <w:tcPr>
            <w:tcW w:w="1000" w:type="dxa"/>
            <w:vAlign w:val="bottom"/>
          </w:tcPr>
          <w:p>
            <w:pPr>
              <w:jc w:val="center"/>
              <w:spacing w:after="0" w:line="99" w:lineRule="exact"/>
              <w:rPr>
                <w:sz w:val="20"/>
                <w:szCs w:val="20"/>
                <w:color w:val="auto"/>
              </w:rPr>
            </w:pPr>
            <w:r>
              <w:rPr>
                <w:rFonts w:ascii="Arial" w:cs="Arial" w:eastAsia="Arial" w:hAnsi="Arial"/>
                <w:sz w:val="11"/>
                <w:szCs w:val="11"/>
                <w:color w:val="auto"/>
              </w:rPr>
              <w:t>ment/</w:t>
            </w:r>
          </w:p>
        </w:tc>
        <w:tc>
          <w:tcPr>
            <w:tcW w:w="740" w:type="dxa"/>
            <w:vAlign w:val="bottom"/>
          </w:tcPr>
          <w:p>
            <w:pPr>
              <w:ind w:left="420"/>
              <w:spacing w:after="0" w:line="99" w:lineRule="exact"/>
              <w:rPr>
                <w:sz w:val="20"/>
                <w:szCs w:val="20"/>
                <w:color w:val="auto"/>
              </w:rPr>
            </w:pPr>
            <w:r>
              <w:rPr>
                <w:rFonts w:ascii="Arial" w:cs="Arial" w:eastAsia="Arial" w:hAnsi="Arial"/>
                <w:sz w:val="11"/>
                <w:szCs w:val="11"/>
                <w:color w:val="auto"/>
              </w:rPr>
              <w:t>−1</w:t>
            </w:r>
          </w:p>
        </w:tc>
        <w:tc>
          <w:tcPr>
            <w:tcW w:w="860" w:type="dxa"/>
            <w:vAlign w:val="bottom"/>
          </w:tcPr>
          <w:p>
            <w:pPr>
              <w:jc w:val="center"/>
              <w:spacing w:after="0" w:line="99" w:lineRule="exact"/>
              <w:rPr>
                <w:sz w:val="20"/>
                <w:szCs w:val="20"/>
                <w:color w:val="auto"/>
              </w:rPr>
            </w:pPr>
            <w:r>
              <w:rPr>
                <w:rFonts w:ascii="Arial" w:cs="Arial" w:eastAsia="Arial" w:hAnsi="Arial"/>
                <w:sz w:val="11"/>
                <w:szCs w:val="11"/>
                <w:color w:val="auto"/>
              </w:rPr>
              <w:t>intensity/</w:t>
            </w:r>
          </w:p>
        </w:tc>
        <w:tc>
          <w:tcPr>
            <w:tcW w:w="0" w:type="dxa"/>
            <w:vAlign w:val="bottom"/>
          </w:tcPr>
          <w:p>
            <w:pPr>
              <w:spacing w:after="0"/>
              <w:rPr>
                <w:sz w:val="1"/>
                <w:szCs w:val="1"/>
                <w:color w:val="auto"/>
              </w:rPr>
            </w:pPr>
          </w:p>
        </w:tc>
      </w:tr>
      <w:tr>
        <w:trPr>
          <w:trHeight w:val="240"/>
        </w:trPr>
        <w:tc>
          <w:tcPr>
            <w:tcW w:w="740" w:type="dxa"/>
            <w:vAlign w:val="bottom"/>
            <w:tcBorders>
              <w:bottom w:val="single" w:sz="8" w:color="auto"/>
            </w:tcBorders>
          </w:tcPr>
          <w:p>
            <w:pPr>
              <w:spacing w:after="0"/>
              <w:rPr>
                <w:sz w:val="20"/>
                <w:szCs w:val="20"/>
                <w:color w:val="auto"/>
              </w:rPr>
            </w:pPr>
          </w:p>
        </w:tc>
        <w:tc>
          <w:tcPr>
            <w:tcW w:w="82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98"/>
              </w:rPr>
              <w:t>m</w:t>
            </w:r>
          </w:p>
        </w:tc>
        <w:tc>
          <w:tcPr>
            <w:tcW w:w="76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98"/>
              </w:rPr>
              <w:t>m</w:t>
            </w:r>
          </w:p>
        </w:tc>
        <w:tc>
          <w:tcPr>
            <w:tcW w:w="720" w:type="dxa"/>
            <w:vAlign w:val="bottom"/>
            <w:tcBorders>
              <w:bottom w:val="single" w:sz="8" w:color="auto"/>
            </w:tcBorders>
            <w:vMerge w:val="continue"/>
          </w:tcPr>
          <w:p>
            <w:pPr>
              <w:spacing w:after="0"/>
              <w:rPr>
                <w:sz w:val="20"/>
                <w:szCs w:val="20"/>
                <w:color w:val="auto"/>
              </w:rPr>
            </w:pPr>
          </w:p>
        </w:tc>
        <w:tc>
          <w:tcPr>
            <w:tcW w:w="88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section</w:t>
            </w:r>
          </w:p>
        </w:tc>
        <w:tc>
          <w:tcPr>
            <w:tcW w:w="740" w:type="dxa"/>
            <w:vAlign w:val="bottom"/>
            <w:tcBorders>
              <w:bottom w:val="single" w:sz="8" w:color="auto"/>
            </w:tcBorders>
            <w:vMerge w:val="continue"/>
          </w:tcPr>
          <w:p>
            <w:pPr>
              <w:spacing w:after="0"/>
              <w:rPr>
                <w:sz w:val="20"/>
                <w:szCs w:val="20"/>
                <w:color w:val="auto"/>
              </w:rPr>
            </w:pPr>
          </w:p>
        </w:tc>
        <w:tc>
          <w:tcPr>
            <w:tcW w:w="1020" w:type="dxa"/>
            <w:vAlign w:val="bottom"/>
            <w:tcBorders>
              <w:bottom w:val="single" w:sz="8" w:color="auto"/>
            </w:tcBorders>
          </w:tcPr>
          <w:p>
            <w:pPr>
              <w:ind w:left="40"/>
              <w:spacing w:after="0"/>
              <w:rPr>
                <w:sz w:val="20"/>
                <w:szCs w:val="20"/>
                <w:color w:val="auto"/>
              </w:rPr>
            </w:pPr>
            <w:r>
              <w:rPr>
                <w:rFonts w:ascii="Arial" w:cs="Arial" w:eastAsia="Arial" w:hAnsi="Arial"/>
                <w:sz w:val="17"/>
                <w:szCs w:val="17"/>
                <w:color w:val="auto"/>
                <w:w w:val="96"/>
              </w:rPr>
              <w:t>(fractures km</w:t>
            </w:r>
          </w:p>
        </w:tc>
        <w:tc>
          <w:tcPr>
            <w:tcW w:w="220" w:type="dxa"/>
            <w:vAlign w:val="bottom"/>
            <w:tcBorders>
              <w:bottom w:val="single" w:sz="8" w:color="auto"/>
            </w:tcBorders>
          </w:tcPr>
          <w:p>
            <w:pPr>
              <w:jc w:val="right"/>
              <w:spacing w:after="0"/>
              <w:rPr>
                <w:sz w:val="20"/>
                <w:szCs w:val="20"/>
                <w:color w:val="auto"/>
              </w:rPr>
            </w:pPr>
            <w:r>
              <w:rPr>
                <w:rFonts w:ascii="Arial" w:cs="Arial" w:eastAsia="Arial" w:hAnsi="Arial"/>
                <w:sz w:val="17"/>
                <w:szCs w:val="17"/>
                <w:color w:val="auto"/>
              </w:rPr>
              <w:t>)</w:t>
            </w:r>
          </w:p>
        </w:tc>
        <w:tc>
          <w:tcPr>
            <w:tcW w:w="660" w:type="dxa"/>
            <w:vAlign w:val="bottom"/>
          </w:tcPr>
          <w:p>
            <w:pPr>
              <w:jc w:val="center"/>
              <w:spacing w:after="0"/>
              <w:rPr>
                <w:sz w:val="20"/>
                <w:szCs w:val="20"/>
                <w:color w:val="auto"/>
              </w:rPr>
            </w:pPr>
            <w:r>
              <w:rPr>
                <w:rFonts w:ascii="Arial" w:cs="Arial" w:eastAsia="Arial" w:hAnsi="Arial"/>
                <w:sz w:val="17"/>
                <w:szCs w:val="17"/>
                <w:color w:val="auto"/>
              </w:rPr>
              <w:t>ratio/%</w:t>
            </w:r>
          </w:p>
        </w:tc>
        <w:tc>
          <w:tcPr>
            <w:tcW w:w="84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w w:val="98"/>
              </w:rPr>
              <w:t>content/t</w:t>
            </w:r>
          </w:p>
        </w:tc>
        <w:tc>
          <w:tcPr>
            <w:tcW w:w="1000" w:type="dxa"/>
            <w:vAlign w:val="bottom"/>
            <w:tcBorders>
              <w:bottom w:val="single" w:sz="8" w:color="auto"/>
            </w:tcBorders>
          </w:tcPr>
          <w:p>
            <w:pPr>
              <w:jc w:val="center"/>
              <w:spacing w:after="0" w:line="240" w:lineRule="exact"/>
              <w:rPr>
                <w:sz w:val="20"/>
                <w:szCs w:val="20"/>
                <w:color w:val="auto"/>
              </w:rPr>
            </w:pPr>
            <w:r>
              <w:rPr>
                <w:rFonts w:ascii="Arial" w:cs="Arial" w:eastAsia="Arial" w:hAnsi="Arial"/>
                <w:sz w:val="17"/>
                <w:szCs w:val="17"/>
                <w:color w:val="auto"/>
                <w:w w:val="92"/>
              </w:rPr>
              <w:t>(m</w:t>
            </w:r>
            <w:r>
              <w:rPr>
                <w:rFonts w:ascii="Arial" w:cs="Arial" w:eastAsia="Arial" w:hAnsi="Arial"/>
                <w:sz w:val="22"/>
                <w:szCs w:val="22"/>
                <w:color w:val="auto"/>
                <w:w w:val="92"/>
                <w:vertAlign w:val="superscript"/>
              </w:rPr>
              <w:t>3</w:t>
            </w:r>
            <w:r>
              <w:rPr>
                <w:rFonts w:ascii="Arial" w:cs="Arial" w:eastAsia="Arial" w:hAnsi="Arial"/>
                <w:sz w:val="17"/>
                <w:szCs w:val="17"/>
                <w:color w:val="auto"/>
                <w:w w:val="92"/>
              </w:rPr>
              <w:t xml:space="preserve"> min</w:t>
            </w:r>
            <w:r>
              <w:rPr>
                <w:rFonts w:ascii="Arial" w:cs="Arial" w:eastAsia="Arial" w:hAnsi="Arial"/>
                <w:sz w:val="22"/>
                <w:szCs w:val="22"/>
                <w:color w:val="auto"/>
                <w:w w:val="92"/>
                <w:vertAlign w:val="superscript"/>
              </w:rPr>
              <w:t>−1</w:t>
            </w:r>
            <w:r>
              <w:rPr>
                <w:rFonts w:ascii="Arial" w:cs="Arial" w:eastAsia="Arial" w:hAnsi="Arial"/>
                <w:sz w:val="17"/>
                <w:szCs w:val="17"/>
                <w:color w:val="auto"/>
                <w:w w:val="92"/>
              </w:rPr>
              <w:t>)</w:t>
            </w:r>
          </w:p>
        </w:tc>
        <w:tc>
          <w:tcPr>
            <w:tcW w:w="740" w:type="dxa"/>
            <w:vAlign w:val="bottom"/>
            <w:tcBorders>
              <w:bottom w:val="single" w:sz="8" w:color="auto"/>
            </w:tcBorders>
          </w:tcPr>
          <w:p>
            <w:pPr>
              <w:jc w:val="center"/>
              <w:spacing w:after="0"/>
              <w:rPr>
                <w:sz w:val="20"/>
                <w:szCs w:val="20"/>
                <w:color w:val="auto"/>
              </w:rPr>
            </w:pPr>
            <w:r>
              <w:rPr>
                <w:rFonts w:ascii="Arial" w:cs="Arial" w:eastAsia="Arial" w:hAnsi="Arial"/>
                <w:sz w:val="17"/>
                <w:szCs w:val="17"/>
                <w:color w:val="auto"/>
              </w:rPr>
              <w:t>(t m  )</w:t>
            </w:r>
          </w:p>
        </w:tc>
        <w:tc>
          <w:tcPr>
            <w:tcW w:w="860" w:type="dxa"/>
            <w:vAlign w:val="bottom"/>
            <w:tcBorders>
              <w:bottom w:val="single" w:sz="8" w:color="auto"/>
            </w:tcBorders>
          </w:tcPr>
          <w:p>
            <w:pPr>
              <w:jc w:val="center"/>
              <w:spacing w:after="0" w:line="240" w:lineRule="exact"/>
              <w:rPr>
                <w:sz w:val="20"/>
                <w:szCs w:val="20"/>
                <w:color w:val="auto"/>
              </w:rPr>
            </w:pPr>
            <w:r>
              <w:rPr>
                <w:rFonts w:ascii="Arial" w:cs="Arial" w:eastAsia="Arial" w:hAnsi="Arial"/>
                <w:sz w:val="17"/>
                <w:szCs w:val="17"/>
                <w:color w:val="auto"/>
                <w:w w:val="92"/>
              </w:rPr>
              <w:t>(m</w:t>
            </w:r>
            <w:r>
              <w:rPr>
                <w:rFonts w:ascii="Arial" w:cs="Arial" w:eastAsia="Arial" w:hAnsi="Arial"/>
                <w:sz w:val="22"/>
                <w:szCs w:val="22"/>
                <w:color w:val="auto"/>
                <w:w w:val="92"/>
                <w:vertAlign w:val="superscript"/>
              </w:rPr>
              <w:t>3</w:t>
            </w:r>
            <w:r>
              <w:rPr>
                <w:rFonts w:ascii="Arial" w:cs="Arial" w:eastAsia="Arial" w:hAnsi="Arial"/>
                <w:sz w:val="17"/>
                <w:szCs w:val="17"/>
                <w:color w:val="auto"/>
                <w:w w:val="92"/>
              </w:rPr>
              <w:t xml:space="preserve"> m</w:t>
            </w:r>
            <w:r>
              <w:rPr>
                <w:rFonts w:ascii="Arial" w:cs="Arial" w:eastAsia="Arial" w:hAnsi="Arial"/>
                <w:sz w:val="22"/>
                <w:szCs w:val="22"/>
                <w:color w:val="auto"/>
                <w:w w:val="92"/>
                <w:vertAlign w:val="superscript"/>
              </w:rPr>
              <w:t>−1</w:t>
            </w:r>
            <w:r>
              <w:rPr>
                <w:rFonts w:ascii="Arial" w:cs="Arial" w:eastAsia="Arial" w:hAnsi="Arial"/>
                <w:sz w:val="17"/>
                <w:szCs w:val="17"/>
                <w:color w:val="auto"/>
                <w:w w:val="92"/>
              </w:rPr>
              <w:t>)</w:t>
            </w:r>
          </w:p>
        </w:tc>
        <w:tc>
          <w:tcPr>
            <w:tcW w:w="0" w:type="dxa"/>
            <w:vAlign w:val="bottom"/>
          </w:tcPr>
          <w:p>
            <w:pPr>
              <w:spacing w:after="0"/>
              <w:rPr>
                <w:sz w:val="1"/>
                <w:szCs w:val="1"/>
                <w:color w:val="auto"/>
              </w:rPr>
            </w:pPr>
          </w:p>
        </w:tc>
      </w:tr>
      <w:tr>
        <w:trPr>
          <w:trHeight w:val="166"/>
        </w:trPr>
        <w:tc>
          <w:tcPr>
            <w:tcW w:w="740" w:type="dxa"/>
            <w:vAlign w:val="bottom"/>
          </w:tcPr>
          <w:p>
            <w:pPr>
              <w:ind w:left="40"/>
              <w:spacing w:after="0" w:line="166" w:lineRule="exact"/>
              <w:rPr>
                <w:sz w:val="20"/>
                <w:szCs w:val="20"/>
                <w:color w:val="auto"/>
              </w:rPr>
            </w:pPr>
            <w:r>
              <w:rPr>
                <w:rFonts w:ascii="Arial" w:cs="Arial" w:eastAsia="Arial" w:hAnsi="Arial"/>
                <w:sz w:val="17"/>
                <w:szCs w:val="17"/>
                <w:color w:val="auto"/>
              </w:rPr>
              <w:t>Permian</w:t>
            </w:r>
          </w:p>
        </w:tc>
        <w:tc>
          <w:tcPr>
            <w:tcW w:w="820" w:type="dxa"/>
            <w:vAlign w:val="bottom"/>
          </w:tcPr>
          <w:p>
            <w:pPr>
              <w:jc w:val="center"/>
              <w:spacing w:after="0" w:line="166" w:lineRule="exact"/>
              <w:rPr>
                <w:sz w:val="20"/>
                <w:szCs w:val="20"/>
                <w:color w:val="auto"/>
              </w:rPr>
            </w:pPr>
            <w:r>
              <w:rPr>
                <w:rFonts w:ascii="Arial" w:cs="Arial" w:eastAsia="Arial" w:hAnsi="Arial"/>
                <w:sz w:val="17"/>
                <w:szCs w:val="17"/>
                <w:color w:val="auto"/>
              </w:rPr>
              <w:t>2500–</w:t>
            </w:r>
          </w:p>
        </w:tc>
        <w:tc>
          <w:tcPr>
            <w:tcW w:w="760" w:type="dxa"/>
            <w:vAlign w:val="bottom"/>
            <w:vMerge w:val="restart"/>
          </w:tcPr>
          <w:p>
            <w:pPr>
              <w:jc w:val="center"/>
              <w:spacing w:after="0"/>
              <w:rPr>
                <w:sz w:val="20"/>
                <w:szCs w:val="20"/>
                <w:color w:val="auto"/>
              </w:rPr>
            </w:pPr>
            <w:r>
              <w:rPr>
                <w:rFonts w:ascii="Arial" w:cs="Arial" w:eastAsia="Arial" w:hAnsi="Arial"/>
                <w:sz w:val="17"/>
                <w:szCs w:val="17"/>
                <w:color w:val="auto"/>
              </w:rPr>
              <w:t>45–75</w:t>
            </w:r>
          </w:p>
        </w:tc>
        <w:tc>
          <w:tcPr>
            <w:tcW w:w="720" w:type="dxa"/>
            <w:vAlign w:val="bottom"/>
            <w:vMerge w:val="restart"/>
          </w:tcPr>
          <w:p>
            <w:pPr>
              <w:jc w:val="center"/>
              <w:spacing w:after="0"/>
              <w:rPr>
                <w:sz w:val="20"/>
                <w:szCs w:val="20"/>
                <w:color w:val="auto"/>
              </w:rPr>
            </w:pPr>
            <w:r>
              <w:rPr>
                <w:rFonts w:ascii="Arial" w:cs="Arial" w:eastAsia="Arial" w:hAnsi="Arial"/>
                <w:sz w:val="17"/>
                <w:szCs w:val="17"/>
                <w:color w:val="auto"/>
                <w:w w:val="98"/>
              </w:rPr>
              <w:t>4–6</w:t>
            </w:r>
          </w:p>
        </w:tc>
        <w:tc>
          <w:tcPr>
            <w:tcW w:w="880" w:type="dxa"/>
            <w:vAlign w:val="bottom"/>
            <w:vMerge w:val="restart"/>
          </w:tcPr>
          <w:p>
            <w:pPr>
              <w:jc w:val="center"/>
              <w:spacing w:after="0"/>
              <w:rPr>
                <w:sz w:val="20"/>
                <w:szCs w:val="20"/>
                <w:color w:val="auto"/>
              </w:rPr>
            </w:pPr>
            <w:r>
              <w:rPr>
                <w:rFonts w:ascii="Arial" w:cs="Arial" w:eastAsia="Arial" w:hAnsi="Arial"/>
                <w:sz w:val="17"/>
                <w:szCs w:val="17"/>
                <w:color w:val="auto"/>
              </w:rPr>
              <w:t>6–12</w:t>
            </w:r>
          </w:p>
        </w:tc>
        <w:tc>
          <w:tcPr>
            <w:tcW w:w="740" w:type="dxa"/>
            <w:vAlign w:val="bottom"/>
            <w:vMerge w:val="restart"/>
          </w:tcPr>
          <w:p>
            <w:pPr>
              <w:jc w:val="center"/>
              <w:spacing w:after="0"/>
              <w:rPr>
                <w:sz w:val="20"/>
                <w:szCs w:val="20"/>
                <w:color w:val="auto"/>
              </w:rPr>
            </w:pPr>
            <w:r>
              <w:rPr>
                <w:rFonts w:ascii="Arial" w:cs="Arial" w:eastAsia="Arial" w:hAnsi="Arial"/>
                <w:sz w:val="17"/>
                <w:szCs w:val="17"/>
                <w:color w:val="auto"/>
                <w:w w:val="99"/>
              </w:rPr>
              <w:t>410–650</w:t>
            </w:r>
          </w:p>
        </w:tc>
        <w:tc>
          <w:tcPr>
            <w:tcW w:w="1020" w:type="dxa"/>
            <w:vAlign w:val="bottom"/>
            <w:vMerge w:val="restart"/>
          </w:tcPr>
          <w:p>
            <w:pPr>
              <w:jc w:val="center"/>
              <w:ind w:left="135"/>
              <w:spacing w:after="0"/>
              <w:rPr>
                <w:sz w:val="20"/>
                <w:szCs w:val="20"/>
                <w:color w:val="auto"/>
              </w:rPr>
            </w:pPr>
            <w:r>
              <w:rPr>
                <w:rFonts w:ascii="Arial" w:cs="Arial" w:eastAsia="Arial" w:hAnsi="Arial"/>
                <w:sz w:val="17"/>
                <w:szCs w:val="17"/>
                <w:color w:val="auto"/>
              </w:rPr>
              <w:t>164–186</w:t>
            </w:r>
          </w:p>
        </w:tc>
        <w:tc>
          <w:tcPr>
            <w:tcW w:w="220" w:type="dxa"/>
            <w:vAlign w:val="bottom"/>
          </w:tcPr>
          <w:p>
            <w:pPr>
              <w:spacing w:after="0"/>
              <w:rPr>
                <w:sz w:val="14"/>
                <w:szCs w:val="14"/>
                <w:color w:val="auto"/>
              </w:rPr>
            </w:pPr>
          </w:p>
        </w:tc>
        <w:tc>
          <w:tcPr>
            <w:tcW w:w="660" w:type="dxa"/>
            <w:vAlign w:val="bottom"/>
            <w:vMerge w:val="restart"/>
          </w:tcPr>
          <w:p>
            <w:pPr>
              <w:jc w:val="center"/>
              <w:spacing w:after="0"/>
              <w:rPr>
                <w:sz w:val="20"/>
                <w:szCs w:val="20"/>
                <w:color w:val="auto"/>
              </w:rPr>
            </w:pPr>
            <w:r>
              <w:rPr>
                <w:rFonts w:ascii="Arial" w:cs="Arial" w:eastAsia="Arial" w:hAnsi="Arial"/>
                <w:sz w:val="17"/>
                <w:szCs w:val="17"/>
                <w:color w:val="auto"/>
                <w:w w:val="92"/>
              </w:rPr>
              <w:t>6.7</w:t>
            </w:r>
          </w:p>
        </w:tc>
        <w:tc>
          <w:tcPr>
            <w:tcW w:w="840" w:type="dxa"/>
            <w:vAlign w:val="bottom"/>
            <w:vMerge w:val="restart"/>
          </w:tcPr>
          <w:p>
            <w:pPr>
              <w:jc w:val="center"/>
              <w:spacing w:after="0"/>
              <w:rPr>
                <w:sz w:val="20"/>
                <w:szCs w:val="20"/>
                <w:color w:val="auto"/>
              </w:rPr>
            </w:pPr>
            <w:r>
              <w:rPr>
                <w:rFonts w:ascii="Arial" w:cs="Arial" w:eastAsia="Arial" w:hAnsi="Arial"/>
                <w:sz w:val="17"/>
                <w:szCs w:val="17"/>
                <w:color w:val="auto"/>
              </w:rPr>
              <w:t>18.3–18.8</w:t>
            </w:r>
          </w:p>
        </w:tc>
        <w:tc>
          <w:tcPr>
            <w:tcW w:w="1000" w:type="dxa"/>
            <w:vAlign w:val="bottom"/>
            <w:vMerge w:val="restart"/>
          </w:tcPr>
          <w:p>
            <w:pPr>
              <w:jc w:val="center"/>
              <w:spacing w:after="0"/>
              <w:rPr>
                <w:sz w:val="20"/>
                <w:szCs w:val="20"/>
                <w:color w:val="auto"/>
              </w:rPr>
            </w:pPr>
            <w:r>
              <w:rPr>
                <w:rFonts w:ascii="Arial" w:cs="Arial" w:eastAsia="Arial" w:hAnsi="Arial"/>
                <w:sz w:val="17"/>
                <w:szCs w:val="17"/>
                <w:color w:val="auto"/>
              </w:rPr>
              <w:t>12–14</w:t>
            </w:r>
          </w:p>
        </w:tc>
        <w:tc>
          <w:tcPr>
            <w:tcW w:w="740" w:type="dxa"/>
            <w:vAlign w:val="bottom"/>
            <w:vMerge w:val="restart"/>
          </w:tcPr>
          <w:p>
            <w:pPr>
              <w:jc w:val="center"/>
              <w:spacing w:after="0"/>
              <w:rPr>
                <w:sz w:val="20"/>
                <w:szCs w:val="20"/>
                <w:color w:val="auto"/>
              </w:rPr>
            </w:pPr>
            <w:r>
              <w:rPr>
                <w:rFonts w:ascii="Arial" w:cs="Arial" w:eastAsia="Arial" w:hAnsi="Arial"/>
                <w:sz w:val="17"/>
                <w:szCs w:val="17"/>
                <w:color w:val="auto"/>
              </w:rPr>
              <w:t>3.0–3.5</w:t>
            </w:r>
          </w:p>
        </w:tc>
        <w:tc>
          <w:tcPr>
            <w:tcW w:w="860" w:type="dxa"/>
            <w:vAlign w:val="bottom"/>
            <w:vMerge w:val="restart"/>
          </w:tcPr>
          <w:p>
            <w:pPr>
              <w:jc w:val="center"/>
              <w:spacing w:after="0"/>
              <w:rPr>
                <w:sz w:val="20"/>
                <w:szCs w:val="20"/>
                <w:color w:val="auto"/>
              </w:rPr>
            </w:pPr>
            <w:r>
              <w:rPr>
                <w:rFonts w:ascii="Arial" w:cs="Arial" w:eastAsia="Arial" w:hAnsi="Arial"/>
                <w:sz w:val="17"/>
                <w:szCs w:val="17"/>
                <w:color w:val="auto"/>
              </w:rPr>
              <w:t>20–25</w:t>
            </w:r>
          </w:p>
        </w:tc>
        <w:tc>
          <w:tcPr>
            <w:tcW w:w="0" w:type="dxa"/>
            <w:vAlign w:val="bottom"/>
          </w:tcPr>
          <w:p>
            <w:pPr>
              <w:spacing w:after="0"/>
              <w:rPr>
                <w:sz w:val="1"/>
                <w:szCs w:val="1"/>
                <w:color w:val="auto"/>
              </w:rPr>
            </w:pPr>
          </w:p>
        </w:tc>
      </w:tr>
      <w:tr>
        <w:trPr>
          <w:trHeight w:val="132"/>
        </w:trPr>
        <w:tc>
          <w:tcPr>
            <w:tcW w:w="740" w:type="dxa"/>
            <w:vAlign w:val="bottom"/>
            <w:vMerge w:val="restart"/>
          </w:tcPr>
          <w:p>
            <w:pPr>
              <w:ind w:left="40"/>
              <w:spacing w:after="0"/>
              <w:rPr>
                <w:sz w:val="20"/>
                <w:szCs w:val="20"/>
                <w:color w:val="auto"/>
              </w:rPr>
            </w:pPr>
            <w:r>
              <w:rPr>
                <w:rFonts w:ascii="Arial" w:cs="Arial" w:eastAsia="Arial" w:hAnsi="Arial"/>
                <w:sz w:val="17"/>
                <w:szCs w:val="17"/>
                <w:color w:val="auto"/>
              </w:rPr>
              <w:t>Basin</w:t>
            </w:r>
          </w:p>
        </w:tc>
        <w:tc>
          <w:tcPr>
            <w:tcW w:w="820" w:type="dxa"/>
            <w:vAlign w:val="bottom"/>
            <w:vMerge w:val="restart"/>
          </w:tcPr>
          <w:p>
            <w:pPr>
              <w:jc w:val="center"/>
              <w:spacing w:after="0"/>
              <w:rPr>
                <w:sz w:val="20"/>
                <w:szCs w:val="20"/>
                <w:color w:val="auto"/>
              </w:rPr>
            </w:pPr>
            <w:r>
              <w:rPr>
                <w:rFonts w:ascii="Arial" w:cs="Arial" w:eastAsia="Arial" w:hAnsi="Arial"/>
                <w:sz w:val="17"/>
                <w:szCs w:val="17"/>
                <w:color w:val="auto"/>
              </w:rPr>
              <w:t>3500</w:t>
            </w:r>
          </w:p>
        </w:tc>
        <w:tc>
          <w:tcPr>
            <w:tcW w:w="760" w:type="dxa"/>
            <w:vAlign w:val="bottom"/>
            <w:vMerge w:val="continue"/>
          </w:tcPr>
          <w:p>
            <w:pPr>
              <w:spacing w:after="0"/>
              <w:rPr>
                <w:sz w:val="11"/>
                <w:szCs w:val="11"/>
                <w:color w:val="auto"/>
              </w:rPr>
            </w:pPr>
          </w:p>
        </w:tc>
        <w:tc>
          <w:tcPr>
            <w:tcW w:w="720" w:type="dxa"/>
            <w:vAlign w:val="bottom"/>
            <w:vMerge w:val="continue"/>
          </w:tcPr>
          <w:p>
            <w:pPr>
              <w:spacing w:after="0"/>
              <w:rPr>
                <w:sz w:val="11"/>
                <w:szCs w:val="11"/>
                <w:color w:val="auto"/>
              </w:rPr>
            </w:pPr>
          </w:p>
        </w:tc>
        <w:tc>
          <w:tcPr>
            <w:tcW w:w="88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1020" w:type="dxa"/>
            <w:vAlign w:val="bottom"/>
            <w:vMerge w:val="continue"/>
          </w:tcPr>
          <w:p>
            <w:pPr>
              <w:spacing w:after="0"/>
              <w:rPr>
                <w:sz w:val="11"/>
                <w:szCs w:val="11"/>
                <w:color w:val="auto"/>
              </w:rPr>
            </w:pPr>
          </w:p>
        </w:tc>
        <w:tc>
          <w:tcPr>
            <w:tcW w:w="220" w:type="dxa"/>
            <w:vAlign w:val="bottom"/>
          </w:tcPr>
          <w:p>
            <w:pPr>
              <w:spacing w:after="0"/>
              <w:rPr>
                <w:sz w:val="11"/>
                <w:szCs w:val="11"/>
                <w:color w:val="auto"/>
              </w:rPr>
            </w:pPr>
          </w:p>
        </w:tc>
        <w:tc>
          <w:tcPr>
            <w:tcW w:w="660" w:type="dxa"/>
            <w:vAlign w:val="bottom"/>
            <w:vMerge w:val="continue"/>
          </w:tcPr>
          <w:p>
            <w:pPr>
              <w:spacing w:after="0"/>
              <w:rPr>
                <w:sz w:val="11"/>
                <w:szCs w:val="11"/>
                <w:color w:val="auto"/>
              </w:rPr>
            </w:pPr>
          </w:p>
        </w:tc>
        <w:tc>
          <w:tcPr>
            <w:tcW w:w="840" w:type="dxa"/>
            <w:vAlign w:val="bottom"/>
            <w:vMerge w:val="continue"/>
          </w:tcPr>
          <w:p>
            <w:pPr>
              <w:spacing w:after="0"/>
              <w:rPr>
                <w:sz w:val="11"/>
                <w:szCs w:val="11"/>
                <w:color w:val="auto"/>
              </w:rPr>
            </w:pPr>
          </w:p>
        </w:tc>
        <w:tc>
          <w:tcPr>
            <w:tcW w:w="100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8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64"/>
        </w:trPr>
        <w:tc>
          <w:tcPr>
            <w:tcW w:w="740" w:type="dxa"/>
            <w:vAlign w:val="bottom"/>
            <w:vMerge w:val="continue"/>
          </w:tcPr>
          <w:p>
            <w:pPr>
              <w:spacing w:after="0"/>
              <w:rPr>
                <w:sz w:val="5"/>
                <w:szCs w:val="5"/>
                <w:color w:val="auto"/>
              </w:rPr>
            </w:pPr>
          </w:p>
        </w:tc>
        <w:tc>
          <w:tcPr>
            <w:tcW w:w="820" w:type="dxa"/>
            <w:vAlign w:val="bottom"/>
            <w:vMerge w:val="continue"/>
          </w:tcPr>
          <w:p>
            <w:pPr>
              <w:spacing w:after="0"/>
              <w:rPr>
                <w:sz w:val="5"/>
                <w:szCs w:val="5"/>
                <w:color w:val="auto"/>
              </w:rPr>
            </w:pPr>
          </w:p>
        </w:tc>
        <w:tc>
          <w:tcPr>
            <w:tcW w:w="760" w:type="dxa"/>
            <w:vAlign w:val="bottom"/>
          </w:tcPr>
          <w:p>
            <w:pPr>
              <w:spacing w:after="0"/>
              <w:rPr>
                <w:sz w:val="5"/>
                <w:szCs w:val="5"/>
                <w:color w:val="auto"/>
              </w:rPr>
            </w:pPr>
          </w:p>
        </w:tc>
        <w:tc>
          <w:tcPr>
            <w:tcW w:w="720" w:type="dxa"/>
            <w:vAlign w:val="bottom"/>
          </w:tcPr>
          <w:p>
            <w:pPr>
              <w:spacing w:after="0"/>
              <w:rPr>
                <w:sz w:val="5"/>
                <w:szCs w:val="5"/>
                <w:color w:val="auto"/>
              </w:rPr>
            </w:pPr>
          </w:p>
        </w:tc>
        <w:tc>
          <w:tcPr>
            <w:tcW w:w="880" w:type="dxa"/>
            <w:vAlign w:val="bottom"/>
          </w:tcPr>
          <w:p>
            <w:pPr>
              <w:spacing w:after="0"/>
              <w:rPr>
                <w:sz w:val="5"/>
                <w:szCs w:val="5"/>
                <w:color w:val="auto"/>
              </w:rPr>
            </w:pPr>
          </w:p>
        </w:tc>
        <w:tc>
          <w:tcPr>
            <w:tcW w:w="740" w:type="dxa"/>
            <w:vAlign w:val="bottom"/>
          </w:tcPr>
          <w:p>
            <w:pPr>
              <w:spacing w:after="0"/>
              <w:rPr>
                <w:sz w:val="5"/>
                <w:szCs w:val="5"/>
                <w:color w:val="auto"/>
              </w:rPr>
            </w:pPr>
          </w:p>
        </w:tc>
        <w:tc>
          <w:tcPr>
            <w:tcW w:w="1020" w:type="dxa"/>
            <w:vAlign w:val="bottom"/>
          </w:tcPr>
          <w:p>
            <w:pPr>
              <w:spacing w:after="0"/>
              <w:rPr>
                <w:sz w:val="5"/>
                <w:szCs w:val="5"/>
                <w:color w:val="auto"/>
              </w:rPr>
            </w:pPr>
          </w:p>
        </w:tc>
        <w:tc>
          <w:tcPr>
            <w:tcW w:w="220" w:type="dxa"/>
            <w:vAlign w:val="bottom"/>
          </w:tcPr>
          <w:p>
            <w:pPr>
              <w:spacing w:after="0"/>
              <w:rPr>
                <w:sz w:val="5"/>
                <w:szCs w:val="5"/>
                <w:color w:val="auto"/>
              </w:rPr>
            </w:pPr>
          </w:p>
        </w:tc>
        <w:tc>
          <w:tcPr>
            <w:tcW w:w="660" w:type="dxa"/>
            <w:vAlign w:val="bottom"/>
          </w:tcPr>
          <w:p>
            <w:pPr>
              <w:spacing w:after="0"/>
              <w:rPr>
                <w:sz w:val="5"/>
                <w:szCs w:val="5"/>
                <w:color w:val="auto"/>
              </w:rPr>
            </w:pPr>
          </w:p>
        </w:tc>
        <w:tc>
          <w:tcPr>
            <w:tcW w:w="840" w:type="dxa"/>
            <w:vAlign w:val="bottom"/>
          </w:tcPr>
          <w:p>
            <w:pPr>
              <w:spacing w:after="0"/>
              <w:rPr>
                <w:sz w:val="5"/>
                <w:szCs w:val="5"/>
                <w:color w:val="auto"/>
              </w:rPr>
            </w:pPr>
          </w:p>
        </w:tc>
        <w:tc>
          <w:tcPr>
            <w:tcW w:w="1000" w:type="dxa"/>
            <w:vAlign w:val="bottom"/>
          </w:tcPr>
          <w:p>
            <w:pPr>
              <w:spacing w:after="0"/>
              <w:rPr>
                <w:sz w:val="5"/>
                <w:szCs w:val="5"/>
                <w:color w:val="auto"/>
              </w:rPr>
            </w:pPr>
          </w:p>
        </w:tc>
        <w:tc>
          <w:tcPr>
            <w:tcW w:w="740" w:type="dxa"/>
            <w:vAlign w:val="bottom"/>
          </w:tcPr>
          <w:p>
            <w:pPr>
              <w:spacing w:after="0"/>
              <w:rPr>
                <w:sz w:val="5"/>
                <w:szCs w:val="5"/>
                <w:color w:val="auto"/>
              </w:rPr>
            </w:pPr>
          </w:p>
        </w:tc>
        <w:tc>
          <w:tcPr>
            <w:tcW w:w="8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96"/>
        </w:trPr>
        <w:tc>
          <w:tcPr>
            <w:tcW w:w="740" w:type="dxa"/>
            <w:vAlign w:val="bottom"/>
          </w:tcPr>
          <w:p>
            <w:pPr>
              <w:ind w:left="40"/>
              <w:spacing w:after="0"/>
              <w:rPr>
                <w:sz w:val="20"/>
                <w:szCs w:val="20"/>
                <w:color w:val="auto"/>
              </w:rPr>
            </w:pPr>
            <w:r>
              <w:rPr>
                <w:rFonts w:ascii="Arial" w:cs="Arial" w:eastAsia="Arial" w:hAnsi="Arial"/>
                <w:sz w:val="17"/>
                <w:szCs w:val="17"/>
                <w:color w:val="auto"/>
              </w:rPr>
              <w:t>Chang 7</w:t>
            </w:r>
          </w:p>
        </w:tc>
        <w:tc>
          <w:tcPr>
            <w:tcW w:w="820" w:type="dxa"/>
            <w:vAlign w:val="bottom"/>
            <w:vMerge w:val="restart"/>
          </w:tcPr>
          <w:p>
            <w:pPr>
              <w:jc w:val="center"/>
              <w:spacing w:after="0"/>
              <w:rPr>
                <w:sz w:val="20"/>
                <w:szCs w:val="20"/>
                <w:color w:val="auto"/>
              </w:rPr>
            </w:pPr>
            <w:r>
              <w:rPr>
                <w:rFonts w:ascii="Arial" w:cs="Arial" w:eastAsia="Arial" w:hAnsi="Arial"/>
                <w:sz w:val="17"/>
                <w:szCs w:val="17"/>
                <w:color w:val="auto"/>
              </w:rPr>
              <w:t>1500–</w:t>
            </w:r>
          </w:p>
        </w:tc>
        <w:tc>
          <w:tcPr>
            <w:tcW w:w="76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88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660" w:type="dxa"/>
            <w:vAlign w:val="bottom"/>
            <w:vMerge w:val="restart"/>
          </w:tcPr>
          <w:p>
            <w:pPr>
              <w:jc w:val="center"/>
              <w:spacing w:after="0"/>
              <w:rPr>
                <w:sz w:val="20"/>
                <w:szCs w:val="20"/>
                <w:color w:val="auto"/>
              </w:rPr>
            </w:pPr>
            <w:r>
              <w:rPr>
                <w:rFonts w:ascii="Arial" w:cs="Arial" w:eastAsia="Arial" w:hAnsi="Arial"/>
                <w:sz w:val="17"/>
                <w:szCs w:val="17"/>
                <w:color w:val="auto"/>
                <w:w w:val="98"/>
              </w:rPr>
              <w:t>12.0–</w:t>
            </w:r>
          </w:p>
        </w:tc>
        <w:tc>
          <w:tcPr>
            <w:tcW w:w="84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7"/>
        </w:trPr>
        <w:tc>
          <w:tcPr>
            <w:tcW w:w="740" w:type="dxa"/>
            <w:vAlign w:val="bottom"/>
          </w:tcPr>
          <w:p>
            <w:pPr>
              <w:ind w:left="40"/>
              <w:spacing w:after="0" w:line="177" w:lineRule="exact"/>
              <w:rPr>
                <w:sz w:val="20"/>
                <w:szCs w:val="20"/>
                <w:color w:val="auto"/>
              </w:rPr>
            </w:pPr>
            <w:r>
              <w:rPr>
                <w:rFonts w:ascii="Arial" w:cs="Arial" w:eastAsia="Arial" w:hAnsi="Arial"/>
                <w:sz w:val="17"/>
                <w:szCs w:val="17"/>
                <w:color w:val="auto"/>
              </w:rPr>
              <w:t>Member,</w:t>
            </w:r>
          </w:p>
        </w:tc>
        <w:tc>
          <w:tcPr>
            <w:tcW w:w="820" w:type="dxa"/>
            <w:vAlign w:val="bottom"/>
            <w:vMerge w:val="continue"/>
          </w:tcPr>
          <w:p>
            <w:pPr>
              <w:spacing w:after="0"/>
              <w:rPr>
                <w:sz w:val="15"/>
                <w:szCs w:val="15"/>
                <w:color w:val="auto"/>
              </w:rPr>
            </w:pPr>
          </w:p>
        </w:tc>
        <w:tc>
          <w:tcPr>
            <w:tcW w:w="760" w:type="dxa"/>
            <w:vAlign w:val="bottom"/>
          </w:tcPr>
          <w:p>
            <w:pPr>
              <w:jc w:val="center"/>
              <w:spacing w:after="0" w:line="177" w:lineRule="exact"/>
              <w:rPr>
                <w:sz w:val="20"/>
                <w:szCs w:val="20"/>
                <w:color w:val="auto"/>
              </w:rPr>
            </w:pPr>
            <w:r>
              <w:rPr>
                <w:rFonts w:ascii="Arial" w:cs="Arial" w:eastAsia="Arial" w:hAnsi="Arial"/>
                <w:sz w:val="17"/>
                <w:szCs w:val="17"/>
                <w:color w:val="auto"/>
              </w:rPr>
              <w:t>45–70</w:t>
            </w:r>
          </w:p>
        </w:tc>
        <w:tc>
          <w:tcPr>
            <w:tcW w:w="720" w:type="dxa"/>
            <w:vAlign w:val="bottom"/>
          </w:tcPr>
          <w:p>
            <w:pPr>
              <w:jc w:val="center"/>
              <w:spacing w:after="0" w:line="177" w:lineRule="exact"/>
              <w:rPr>
                <w:sz w:val="20"/>
                <w:szCs w:val="20"/>
                <w:color w:val="auto"/>
              </w:rPr>
            </w:pPr>
            <w:r>
              <w:rPr>
                <w:rFonts w:ascii="Arial" w:cs="Arial" w:eastAsia="Arial" w:hAnsi="Arial"/>
                <w:sz w:val="17"/>
                <w:szCs w:val="17"/>
                <w:color w:val="auto"/>
              </w:rPr>
              <w:t>8–10</w:t>
            </w:r>
          </w:p>
        </w:tc>
        <w:tc>
          <w:tcPr>
            <w:tcW w:w="880" w:type="dxa"/>
            <w:vAlign w:val="bottom"/>
          </w:tcPr>
          <w:p>
            <w:pPr>
              <w:jc w:val="center"/>
              <w:spacing w:after="0" w:line="177" w:lineRule="exact"/>
              <w:rPr>
                <w:sz w:val="20"/>
                <w:szCs w:val="20"/>
                <w:color w:val="auto"/>
              </w:rPr>
            </w:pPr>
            <w:r>
              <w:rPr>
                <w:rFonts w:ascii="Arial" w:cs="Arial" w:eastAsia="Arial" w:hAnsi="Arial"/>
                <w:sz w:val="17"/>
                <w:szCs w:val="17"/>
                <w:color w:val="auto"/>
              </w:rPr>
              <w:t>4–10</w:t>
            </w:r>
          </w:p>
        </w:tc>
        <w:tc>
          <w:tcPr>
            <w:tcW w:w="740" w:type="dxa"/>
            <w:vAlign w:val="bottom"/>
          </w:tcPr>
          <w:p>
            <w:pPr>
              <w:jc w:val="center"/>
              <w:spacing w:after="0" w:line="177" w:lineRule="exact"/>
              <w:rPr>
                <w:sz w:val="20"/>
                <w:szCs w:val="20"/>
                <w:color w:val="auto"/>
              </w:rPr>
            </w:pPr>
            <w:r>
              <w:rPr>
                <w:rFonts w:ascii="Arial" w:cs="Arial" w:eastAsia="Arial" w:hAnsi="Arial"/>
                <w:sz w:val="17"/>
                <w:szCs w:val="17"/>
                <w:color w:val="auto"/>
                <w:w w:val="99"/>
              </w:rPr>
              <w:t>120–225</w:t>
            </w:r>
          </w:p>
        </w:tc>
        <w:tc>
          <w:tcPr>
            <w:tcW w:w="1020" w:type="dxa"/>
            <w:vAlign w:val="bottom"/>
          </w:tcPr>
          <w:p>
            <w:pPr>
              <w:jc w:val="center"/>
              <w:ind w:left="135"/>
              <w:spacing w:after="0" w:line="177" w:lineRule="exact"/>
              <w:rPr>
                <w:sz w:val="20"/>
                <w:szCs w:val="20"/>
                <w:color w:val="auto"/>
              </w:rPr>
            </w:pPr>
            <w:r>
              <w:rPr>
                <w:rFonts w:ascii="Arial" w:cs="Arial" w:eastAsia="Arial" w:hAnsi="Arial"/>
                <w:sz w:val="17"/>
                <w:szCs w:val="17"/>
                <w:color w:val="auto"/>
                <w:w w:val="98"/>
              </w:rPr>
              <w:t>80–125</w:t>
            </w:r>
          </w:p>
        </w:tc>
        <w:tc>
          <w:tcPr>
            <w:tcW w:w="220" w:type="dxa"/>
            <w:vAlign w:val="bottom"/>
          </w:tcPr>
          <w:p>
            <w:pPr>
              <w:spacing w:after="0"/>
              <w:rPr>
                <w:sz w:val="15"/>
                <w:szCs w:val="15"/>
                <w:color w:val="auto"/>
              </w:rPr>
            </w:pPr>
          </w:p>
        </w:tc>
        <w:tc>
          <w:tcPr>
            <w:tcW w:w="660" w:type="dxa"/>
            <w:vAlign w:val="bottom"/>
            <w:vMerge w:val="continue"/>
          </w:tcPr>
          <w:p>
            <w:pPr>
              <w:spacing w:after="0"/>
              <w:rPr>
                <w:sz w:val="15"/>
                <w:szCs w:val="15"/>
                <w:color w:val="auto"/>
              </w:rPr>
            </w:pPr>
          </w:p>
        </w:tc>
        <w:tc>
          <w:tcPr>
            <w:tcW w:w="840" w:type="dxa"/>
            <w:vAlign w:val="bottom"/>
          </w:tcPr>
          <w:p>
            <w:pPr>
              <w:jc w:val="center"/>
              <w:spacing w:after="0" w:line="177" w:lineRule="exact"/>
              <w:rPr>
                <w:sz w:val="20"/>
                <w:szCs w:val="20"/>
                <w:color w:val="auto"/>
              </w:rPr>
            </w:pPr>
            <w:r>
              <w:rPr>
                <w:rFonts w:ascii="Arial" w:cs="Arial" w:eastAsia="Arial" w:hAnsi="Arial"/>
                <w:sz w:val="17"/>
                <w:szCs w:val="17"/>
                <w:color w:val="auto"/>
              </w:rPr>
              <w:t>36.0–37.5</w:t>
            </w:r>
          </w:p>
        </w:tc>
        <w:tc>
          <w:tcPr>
            <w:tcW w:w="1000" w:type="dxa"/>
            <w:vAlign w:val="bottom"/>
          </w:tcPr>
          <w:p>
            <w:pPr>
              <w:jc w:val="center"/>
              <w:spacing w:after="0" w:line="177" w:lineRule="exact"/>
              <w:rPr>
                <w:sz w:val="20"/>
                <w:szCs w:val="20"/>
                <w:color w:val="auto"/>
              </w:rPr>
            </w:pPr>
            <w:r>
              <w:rPr>
                <w:rFonts w:ascii="Arial" w:cs="Arial" w:eastAsia="Arial" w:hAnsi="Arial"/>
                <w:sz w:val="17"/>
                <w:szCs w:val="17"/>
                <w:color w:val="auto"/>
              </w:rPr>
              <w:t>12–14</w:t>
            </w:r>
          </w:p>
        </w:tc>
        <w:tc>
          <w:tcPr>
            <w:tcW w:w="740" w:type="dxa"/>
            <w:vAlign w:val="bottom"/>
          </w:tcPr>
          <w:p>
            <w:pPr>
              <w:jc w:val="center"/>
              <w:spacing w:after="0" w:line="177" w:lineRule="exact"/>
              <w:rPr>
                <w:sz w:val="20"/>
                <w:szCs w:val="20"/>
                <w:color w:val="auto"/>
              </w:rPr>
            </w:pPr>
            <w:r>
              <w:rPr>
                <w:rFonts w:ascii="Arial" w:cs="Arial" w:eastAsia="Arial" w:hAnsi="Arial"/>
                <w:sz w:val="17"/>
                <w:szCs w:val="17"/>
                <w:color w:val="auto"/>
              </w:rPr>
              <w:t>3.0–4.5</w:t>
            </w:r>
          </w:p>
        </w:tc>
        <w:tc>
          <w:tcPr>
            <w:tcW w:w="860" w:type="dxa"/>
            <w:vAlign w:val="bottom"/>
          </w:tcPr>
          <w:p>
            <w:pPr>
              <w:jc w:val="center"/>
              <w:spacing w:after="0" w:line="177" w:lineRule="exact"/>
              <w:rPr>
                <w:sz w:val="20"/>
                <w:szCs w:val="20"/>
                <w:color w:val="auto"/>
              </w:rPr>
            </w:pPr>
            <w:r>
              <w:rPr>
                <w:rFonts w:ascii="Arial" w:cs="Arial" w:eastAsia="Arial" w:hAnsi="Arial"/>
                <w:sz w:val="17"/>
                <w:szCs w:val="17"/>
                <w:color w:val="auto"/>
              </w:rPr>
              <w:t>20–25</w:t>
            </w:r>
          </w:p>
        </w:tc>
        <w:tc>
          <w:tcPr>
            <w:tcW w:w="0" w:type="dxa"/>
            <w:vAlign w:val="bottom"/>
          </w:tcPr>
          <w:p>
            <w:pPr>
              <w:spacing w:after="0"/>
              <w:rPr>
                <w:sz w:val="1"/>
                <w:szCs w:val="1"/>
                <w:color w:val="auto"/>
              </w:rPr>
            </w:pPr>
          </w:p>
        </w:tc>
      </w:tr>
      <w:tr>
        <w:trPr>
          <w:trHeight w:val="215"/>
        </w:trPr>
        <w:tc>
          <w:tcPr>
            <w:tcW w:w="740" w:type="dxa"/>
            <w:vAlign w:val="bottom"/>
          </w:tcPr>
          <w:p>
            <w:pPr>
              <w:ind w:left="40"/>
              <w:spacing w:after="0"/>
              <w:rPr>
                <w:sz w:val="20"/>
                <w:szCs w:val="20"/>
                <w:color w:val="auto"/>
              </w:rPr>
            </w:pPr>
            <w:r>
              <w:rPr>
                <w:rFonts w:ascii="Arial" w:cs="Arial" w:eastAsia="Arial" w:hAnsi="Arial"/>
                <w:sz w:val="17"/>
                <w:szCs w:val="17"/>
                <w:color w:val="auto"/>
              </w:rPr>
              <w:t>Ordos</w:t>
            </w:r>
          </w:p>
        </w:tc>
        <w:tc>
          <w:tcPr>
            <w:tcW w:w="820" w:type="dxa"/>
            <w:vAlign w:val="bottom"/>
          </w:tcPr>
          <w:p>
            <w:pPr>
              <w:jc w:val="center"/>
              <w:spacing w:after="0"/>
              <w:rPr>
                <w:sz w:val="20"/>
                <w:szCs w:val="20"/>
                <w:color w:val="auto"/>
              </w:rPr>
            </w:pPr>
            <w:r>
              <w:rPr>
                <w:rFonts w:ascii="Arial" w:cs="Arial" w:eastAsia="Arial" w:hAnsi="Arial"/>
                <w:sz w:val="17"/>
                <w:szCs w:val="17"/>
                <w:color w:val="auto"/>
              </w:rPr>
              <w:t>1800</w:t>
            </w:r>
          </w:p>
        </w:tc>
        <w:tc>
          <w:tcPr>
            <w:tcW w:w="760" w:type="dxa"/>
            <w:vAlign w:val="bottom"/>
          </w:tcPr>
          <w:p>
            <w:pPr>
              <w:spacing w:after="0"/>
              <w:rPr>
                <w:sz w:val="18"/>
                <w:szCs w:val="18"/>
                <w:color w:val="auto"/>
              </w:rPr>
            </w:pPr>
          </w:p>
        </w:tc>
        <w:tc>
          <w:tcPr>
            <w:tcW w:w="720" w:type="dxa"/>
            <w:vAlign w:val="bottom"/>
          </w:tcPr>
          <w:p>
            <w:pPr>
              <w:spacing w:after="0"/>
              <w:rPr>
                <w:sz w:val="18"/>
                <w:szCs w:val="18"/>
                <w:color w:val="auto"/>
              </w:rPr>
            </w:pPr>
          </w:p>
        </w:tc>
        <w:tc>
          <w:tcPr>
            <w:tcW w:w="88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660" w:type="dxa"/>
            <w:vAlign w:val="bottom"/>
          </w:tcPr>
          <w:p>
            <w:pPr>
              <w:jc w:val="center"/>
              <w:spacing w:after="0"/>
              <w:rPr>
                <w:sz w:val="20"/>
                <w:szCs w:val="20"/>
                <w:color w:val="auto"/>
              </w:rPr>
            </w:pPr>
            <w:r>
              <w:rPr>
                <w:rFonts w:ascii="Arial" w:cs="Arial" w:eastAsia="Arial" w:hAnsi="Arial"/>
                <w:sz w:val="17"/>
                <w:szCs w:val="17"/>
                <w:color w:val="auto"/>
              </w:rPr>
              <w:t>15.0</w:t>
            </w:r>
          </w:p>
        </w:tc>
        <w:tc>
          <w:tcPr>
            <w:tcW w:w="840" w:type="dxa"/>
            <w:vAlign w:val="bottom"/>
          </w:tcPr>
          <w:p>
            <w:pPr>
              <w:spacing w:after="0"/>
              <w:rPr>
                <w:sz w:val="18"/>
                <w:szCs w:val="18"/>
                <w:color w:val="auto"/>
              </w:rPr>
            </w:pPr>
          </w:p>
        </w:tc>
        <w:tc>
          <w:tcPr>
            <w:tcW w:w="100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8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96"/>
        </w:trPr>
        <w:tc>
          <w:tcPr>
            <w:tcW w:w="740" w:type="dxa"/>
            <w:vAlign w:val="bottom"/>
          </w:tcPr>
          <w:p>
            <w:pPr>
              <w:ind w:left="40"/>
              <w:spacing w:after="0"/>
              <w:rPr>
                <w:sz w:val="20"/>
                <w:szCs w:val="20"/>
                <w:color w:val="auto"/>
              </w:rPr>
            </w:pPr>
            <w:r>
              <w:rPr>
                <w:rFonts w:ascii="Arial" w:cs="Arial" w:eastAsia="Arial" w:hAnsi="Arial"/>
                <w:sz w:val="17"/>
                <w:szCs w:val="17"/>
                <w:color w:val="auto"/>
              </w:rPr>
              <w:t>Jimsar,</w:t>
            </w:r>
          </w:p>
        </w:tc>
        <w:tc>
          <w:tcPr>
            <w:tcW w:w="820" w:type="dxa"/>
            <w:vAlign w:val="bottom"/>
          </w:tcPr>
          <w:p>
            <w:pPr>
              <w:jc w:val="center"/>
              <w:spacing w:after="0"/>
              <w:rPr>
                <w:sz w:val="20"/>
                <w:szCs w:val="20"/>
                <w:color w:val="auto"/>
              </w:rPr>
            </w:pPr>
            <w:r>
              <w:rPr>
                <w:rFonts w:ascii="Arial" w:cs="Arial" w:eastAsia="Arial" w:hAnsi="Arial"/>
                <w:sz w:val="17"/>
                <w:szCs w:val="17"/>
                <w:color w:val="auto"/>
              </w:rPr>
              <w:t>1500–</w:t>
            </w:r>
          </w:p>
        </w:tc>
        <w:tc>
          <w:tcPr>
            <w:tcW w:w="760" w:type="dxa"/>
            <w:vAlign w:val="bottom"/>
            <w:vMerge w:val="restart"/>
          </w:tcPr>
          <w:p>
            <w:pPr>
              <w:jc w:val="center"/>
              <w:spacing w:after="0"/>
              <w:rPr>
                <w:sz w:val="20"/>
                <w:szCs w:val="20"/>
                <w:color w:val="auto"/>
              </w:rPr>
            </w:pPr>
            <w:r>
              <w:rPr>
                <w:rFonts w:ascii="Arial" w:cs="Arial" w:eastAsia="Arial" w:hAnsi="Arial"/>
                <w:sz w:val="17"/>
                <w:szCs w:val="17"/>
                <w:color w:val="auto"/>
              </w:rPr>
              <w:t>45–60</w:t>
            </w:r>
          </w:p>
        </w:tc>
        <w:tc>
          <w:tcPr>
            <w:tcW w:w="720" w:type="dxa"/>
            <w:vAlign w:val="bottom"/>
            <w:vMerge w:val="restart"/>
          </w:tcPr>
          <w:p>
            <w:pPr>
              <w:jc w:val="center"/>
              <w:spacing w:after="0"/>
              <w:rPr>
                <w:sz w:val="20"/>
                <w:szCs w:val="20"/>
                <w:color w:val="auto"/>
              </w:rPr>
            </w:pPr>
            <w:r>
              <w:rPr>
                <w:rFonts w:ascii="Arial" w:cs="Arial" w:eastAsia="Arial" w:hAnsi="Arial"/>
                <w:sz w:val="17"/>
                <w:szCs w:val="17"/>
                <w:color w:val="auto"/>
                <w:w w:val="98"/>
              </w:rPr>
              <w:t>6–8</w:t>
            </w:r>
          </w:p>
        </w:tc>
        <w:tc>
          <w:tcPr>
            <w:tcW w:w="880" w:type="dxa"/>
            <w:vAlign w:val="bottom"/>
            <w:vMerge w:val="restart"/>
          </w:tcPr>
          <w:p>
            <w:pPr>
              <w:jc w:val="center"/>
              <w:spacing w:after="0"/>
              <w:rPr>
                <w:sz w:val="20"/>
                <w:szCs w:val="20"/>
                <w:color w:val="auto"/>
              </w:rPr>
            </w:pPr>
            <w:r>
              <w:rPr>
                <w:rFonts w:ascii="Arial" w:cs="Arial" w:eastAsia="Arial" w:hAnsi="Arial"/>
                <w:sz w:val="17"/>
                <w:szCs w:val="17"/>
                <w:color w:val="auto"/>
                <w:w w:val="98"/>
              </w:rPr>
              <w:t>6–8</w:t>
            </w:r>
          </w:p>
        </w:tc>
        <w:tc>
          <w:tcPr>
            <w:tcW w:w="740" w:type="dxa"/>
            <w:vAlign w:val="bottom"/>
            <w:vMerge w:val="restart"/>
          </w:tcPr>
          <w:p>
            <w:pPr>
              <w:jc w:val="center"/>
              <w:spacing w:after="0"/>
              <w:rPr>
                <w:sz w:val="20"/>
                <w:szCs w:val="20"/>
                <w:color w:val="auto"/>
              </w:rPr>
            </w:pPr>
            <w:r>
              <w:rPr>
                <w:rFonts w:ascii="Arial" w:cs="Arial" w:eastAsia="Arial" w:hAnsi="Arial"/>
                <w:sz w:val="17"/>
                <w:szCs w:val="17"/>
                <w:color w:val="auto"/>
                <w:w w:val="99"/>
              </w:rPr>
              <w:t>204–320</w:t>
            </w:r>
          </w:p>
        </w:tc>
        <w:tc>
          <w:tcPr>
            <w:tcW w:w="1020" w:type="dxa"/>
            <w:vAlign w:val="bottom"/>
            <w:vMerge w:val="restart"/>
          </w:tcPr>
          <w:p>
            <w:pPr>
              <w:jc w:val="center"/>
              <w:ind w:left="135"/>
              <w:spacing w:after="0"/>
              <w:rPr>
                <w:sz w:val="20"/>
                <w:szCs w:val="20"/>
                <w:color w:val="auto"/>
              </w:rPr>
            </w:pPr>
            <w:r>
              <w:rPr>
                <w:rFonts w:ascii="Arial" w:cs="Arial" w:eastAsia="Arial" w:hAnsi="Arial"/>
                <w:sz w:val="17"/>
                <w:szCs w:val="17"/>
                <w:color w:val="auto"/>
              </w:rPr>
              <w:t>136–160</w:t>
            </w:r>
          </w:p>
        </w:tc>
        <w:tc>
          <w:tcPr>
            <w:tcW w:w="220" w:type="dxa"/>
            <w:vAlign w:val="bottom"/>
          </w:tcPr>
          <w:p>
            <w:pPr>
              <w:spacing w:after="0"/>
              <w:rPr>
                <w:sz w:val="17"/>
                <w:szCs w:val="17"/>
                <w:color w:val="auto"/>
              </w:rPr>
            </w:pPr>
          </w:p>
        </w:tc>
        <w:tc>
          <w:tcPr>
            <w:tcW w:w="660" w:type="dxa"/>
            <w:vAlign w:val="bottom"/>
          </w:tcPr>
          <w:p>
            <w:pPr>
              <w:jc w:val="center"/>
              <w:spacing w:after="0"/>
              <w:rPr>
                <w:sz w:val="20"/>
                <w:szCs w:val="20"/>
                <w:color w:val="auto"/>
              </w:rPr>
            </w:pPr>
            <w:r>
              <w:rPr>
                <w:rFonts w:ascii="Arial" w:cs="Arial" w:eastAsia="Arial" w:hAnsi="Arial"/>
                <w:sz w:val="17"/>
                <w:szCs w:val="17"/>
                <w:color w:val="auto"/>
              </w:rPr>
              <w:t>8.6–</w:t>
            </w:r>
          </w:p>
        </w:tc>
        <w:tc>
          <w:tcPr>
            <w:tcW w:w="840" w:type="dxa"/>
            <w:vAlign w:val="bottom"/>
            <w:vMerge w:val="restart"/>
          </w:tcPr>
          <w:p>
            <w:pPr>
              <w:jc w:val="center"/>
              <w:spacing w:after="0"/>
              <w:rPr>
                <w:sz w:val="20"/>
                <w:szCs w:val="20"/>
                <w:color w:val="auto"/>
              </w:rPr>
            </w:pPr>
            <w:r>
              <w:rPr>
                <w:rFonts w:ascii="Arial" w:cs="Arial" w:eastAsia="Arial" w:hAnsi="Arial"/>
                <w:sz w:val="17"/>
                <w:szCs w:val="17"/>
                <w:color w:val="auto"/>
              </w:rPr>
              <w:t>22.0–37.5</w:t>
            </w:r>
          </w:p>
        </w:tc>
        <w:tc>
          <w:tcPr>
            <w:tcW w:w="1000" w:type="dxa"/>
            <w:vAlign w:val="bottom"/>
            <w:vMerge w:val="restart"/>
          </w:tcPr>
          <w:p>
            <w:pPr>
              <w:jc w:val="center"/>
              <w:spacing w:after="0"/>
              <w:rPr>
                <w:sz w:val="20"/>
                <w:szCs w:val="20"/>
                <w:color w:val="auto"/>
              </w:rPr>
            </w:pPr>
            <w:r>
              <w:rPr>
                <w:rFonts w:ascii="Arial" w:cs="Arial" w:eastAsia="Arial" w:hAnsi="Arial"/>
                <w:sz w:val="17"/>
                <w:szCs w:val="17"/>
                <w:color w:val="auto"/>
              </w:rPr>
              <w:t>14–16</w:t>
            </w:r>
          </w:p>
        </w:tc>
        <w:tc>
          <w:tcPr>
            <w:tcW w:w="740" w:type="dxa"/>
            <w:vAlign w:val="bottom"/>
            <w:vMerge w:val="restart"/>
          </w:tcPr>
          <w:p>
            <w:pPr>
              <w:jc w:val="center"/>
              <w:spacing w:after="0"/>
              <w:rPr>
                <w:sz w:val="20"/>
                <w:szCs w:val="20"/>
                <w:color w:val="auto"/>
              </w:rPr>
            </w:pPr>
            <w:r>
              <w:rPr>
                <w:rFonts w:ascii="Arial" w:cs="Arial" w:eastAsia="Arial" w:hAnsi="Arial"/>
                <w:sz w:val="17"/>
                <w:szCs w:val="17"/>
                <w:color w:val="auto"/>
              </w:rPr>
              <w:t>3.0–6.0</w:t>
            </w:r>
          </w:p>
        </w:tc>
        <w:tc>
          <w:tcPr>
            <w:tcW w:w="860" w:type="dxa"/>
            <w:vAlign w:val="bottom"/>
            <w:vMerge w:val="restart"/>
          </w:tcPr>
          <w:p>
            <w:pPr>
              <w:jc w:val="center"/>
              <w:spacing w:after="0"/>
              <w:rPr>
                <w:sz w:val="20"/>
                <w:szCs w:val="20"/>
                <w:color w:val="auto"/>
              </w:rPr>
            </w:pPr>
            <w:r>
              <w:rPr>
                <w:rFonts w:ascii="Arial" w:cs="Arial" w:eastAsia="Arial" w:hAnsi="Arial"/>
                <w:sz w:val="17"/>
                <w:szCs w:val="17"/>
                <w:color w:val="auto"/>
              </w:rPr>
              <w:t>25–30</w:t>
            </w:r>
          </w:p>
        </w:tc>
        <w:tc>
          <w:tcPr>
            <w:tcW w:w="0" w:type="dxa"/>
            <w:vAlign w:val="bottom"/>
          </w:tcPr>
          <w:p>
            <w:pPr>
              <w:spacing w:after="0"/>
              <w:rPr>
                <w:sz w:val="1"/>
                <w:szCs w:val="1"/>
                <w:color w:val="auto"/>
              </w:rPr>
            </w:pPr>
          </w:p>
        </w:tc>
      </w:tr>
      <w:tr>
        <w:trPr>
          <w:trHeight w:val="132"/>
        </w:trPr>
        <w:tc>
          <w:tcPr>
            <w:tcW w:w="740" w:type="dxa"/>
            <w:vAlign w:val="bottom"/>
            <w:vMerge w:val="restart"/>
          </w:tcPr>
          <w:p>
            <w:pPr>
              <w:ind w:left="40"/>
              <w:spacing w:after="0"/>
              <w:rPr>
                <w:sz w:val="20"/>
                <w:szCs w:val="20"/>
                <w:color w:val="auto"/>
              </w:rPr>
            </w:pPr>
            <w:r>
              <w:rPr>
                <w:rFonts w:ascii="Arial" w:cs="Arial" w:eastAsia="Arial" w:hAnsi="Arial"/>
                <w:sz w:val="17"/>
                <w:szCs w:val="17"/>
                <w:color w:val="auto"/>
              </w:rPr>
              <w:t>Xinjiang</w:t>
            </w:r>
          </w:p>
        </w:tc>
        <w:tc>
          <w:tcPr>
            <w:tcW w:w="820" w:type="dxa"/>
            <w:vAlign w:val="bottom"/>
            <w:vMerge w:val="restart"/>
          </w:tcPr>
          <w:p>
            <w:pPr>
              <w:jc w:val="center"/>
              <w:spacing w:after="0"/>
              <w:rPr>
                <w:sz w:val="20"/>
                <w:szCs w:val="20"/>
                <w:color w:val="auto"/>
              </w:rPr>
            </w:pPr>
            <w:r>
              <w:rPr>
                <w:rFonts w:ascii="Arial" w:cs="Arial" w:eastAsia="Arial" w:hAnsi="Arial"/>
                <w:sz w:val="17"/>
                <w:szCs w:val="17"/>
                <w:color w:val="auto"/>
              </w:rPr>
              <w:t>2000</w:t>
            </w:r>
          </w:p>
        </w:tc>
        <w:tc>
          <w:tcPr>
            <w:tcW w:w="760" w:type="dxa"/>
            <w:vAlign w:val="bottom"/>
            <w:vMerge w:val="continue"/>
          </w:tcPr>
          <w:p>
            <w:pPr>
              <w:spacing w:after="0"/>
              <w:rPr>
                <w:sz w:val="11"/>
                <w:szCs w:val="11"/>
                <w:color w:val="auto"/>
              </w:rPr>
            </w:pPr>
          </w:p>
        </w:tc>
        <w:tc>
          <w:tcPr>
            <w:tcW w:w="720" w:type="dxa"/>
            <w:vAlign w:val="bottom"/>
            <w:vMerge w:val="continue"/>
          </w:tcPr>
          <w:p>
            <w:pPr>
              <w:spacing w:after="0"/>
              <w:rPr>
                <w:sz w:val="11"/>
                <w:szCs w:val="11"/>
                <w:color w:val="auto"/>
              </w:rPr>
            </w:pPr>
          </w:p>
        </w:tc>
        <w:tc>
          <w:tcPr>
            <w:tcW w:w="88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1020" w:type="dxa"/>
            <w:vAlign w:val="bottom"/>
            <w:vMerge w:val="continue"/>
          </w:tcPr>
          <w:p>
            <w:pPr>
              <w:spacing w:after="0"/>
              <w:rPr>
                <w:sz w:val="11"/>
                <w:szCs w:val="11"/>
                <w:color w:val="auto"/>
              </w:rPr>
            </w:pPr>
          </w:p>
        </w:tc>
        <w:tc>
          <w:tcPr>
            <w:tcW w:w="220" w:type="dxa"/>
            <w:vAlign w:val="bottom"/>
          </w:tcPr>
          <w:p>
            <w:pPr>
              <w:spacing w:after="0"/>
              <w:rPr>
                <w:sz w:val="11"/>
                <w:szCs w:val="11"/>
                <w:color w:val="auto"/>
              </w:rPr>
            </w:pPr>
          </w:p>
        </w:tc>
        <w:tc>
          <w:tcPr>
            <w:tcW w:w="660" w:type="dxa"/>
            <w:vAlign w:val="bottom"/>
            <w:vMerge w:val="restart"/>
          </w:tcPr>
          <w:p>
            <w:pPr>
              <w:jc w:val="center"/>
              <w:spacing w:after="0"/>
              <w:rPr>
                <w:sz w:val="20"/>
                <w:szCs w:val="20"/>
                <w:color w:val="auto"/>
              </w:rPr>
            </w:pPr>
            <w:r>
              <w:rPr>
                <w:rFonts w:ascii="Arial" w:cs="Arial" w:eastAsia="Arial" w:hAnsi="Arial"/>
                <w:sz w:val="17"/>
                <w:szCs w:val="17"/>
                <w:color w:val="auto"/>
              </w:rPr>
              <w:t>11.5</w:t>
            </w:r>
          </w:p>
        </w:tc>
        <w:tc>
          <w:tcPr>
            <w:tcW w:w="840" w:type="dxa"/>
            <w:vAlign w:val="bottom"/>
            <w:vMerge w:val="continue"/>
          </w:tcPr>
          <w:p>
            <w:pPr>
              <w:spacing w:after="0"/>
              <w:rPr>
                <w:sz w:val="11"/>
                <w:szCs w:val="11"/>
                <w:color w:val="auto"/>
              </w:rPr>
            </w:pPr>
          </w:p>
        </w:tc>
        <w:tc>
          <w:tcPr>
            <w:tcW w:w="100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8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64"/>
        </w:trPr>
        <w:tc>
          <w:tcPr>
            <w:tcW w:w="740" w:type="dxa"/>
            <w:vAlign w:val="bottom"/>
            <w:vMerge w:val="continue"/>
          </w:tcPr>
          <w:p>
            <w:pPr>
              <w:spacing w:after="0"/>
              <w:rPr>
                <w:sz w:val="5"/>
                <w:szCs w:val="5"/>
                <w:color w:val="auto"/>
              </w:rPr>
            </w:pPr>
          </w:p>
        </w:tc>
        <w:tc>
          <w:tcPr>
            <w:tcW w:w="820" w:type="dxa"/>
            <w:vAlign w:val="bottom"/>
            <w:vMerge w:val="continue"/>
          </w:tcPr>
          <w:p>
            <w:pPr>
              <w:spacing w:after="0"/>
              <w:rPr>
                <w:sz w:val="5"/>
                <w:szCs w:val="5"/>
                <w:color w:val="auto"/>
              </w:rPr>
            </w:pPr>
          </w:p>
        </w:tc>
        <w:tc>
          <w:tcPr>
            <w:tcW w:w="760" w:type="dxa"/>
            <w:vAlign w:val="bottom"/>
          </w:tcPr>
          <w:p>
            <w:pPr>
              <w:spacing w:after="0"/>
              <w:rPr>
                <w:sz w:val="5"/>
                <w:szCs w:val="5"/>
                <w:color w:val="auto"/>
              </w:rPr>
            </w:pPr>
          </w:p>
        </w:tc>
        <w:tc>
          <w:tcPr>
            <w:tcW w:w="720" w:type="dxa"/>
            <w:vAlign w:val="bottom"/>
          </w:tcPr>
          <w:p>
            <w:pPr>
              <w:spacing w:after="0"/>
              <w:rPr>
                <w:sz w:val="5"/>
                <w:szCs w:val="5"/>
                <w:color w:val="auto"/>
              </w:rPr>
            </w:pPr>
          </w:p>
        </w:tc>
        <w:tc>
          <w:tcPr>
            <w:tcW w:w="880" w:type="dxa"/>
            <w:vAlign w:val="bottom"/>
          </w:tcPr>
          <w:p>
            <w:pPr>
              <w:spacing w:after="0"/>
              <w:rPr>
                <w:sz w:val="5"/>
                <w:szCs w:val="5"/>
                <w:color w:val="auto"/>
              </w:rPr>
            </w:pPr>
          </w:p>
        </w:tc>
        <w:tc>
          <w:tcPr>
            <w:tcW w:w="740" w:type="dxa"/>
            <w:vAlign w:val="bottom"/>
          </w:tcPr>
          <w:p>
            <w:pPr>
              <w:spacing w:after="0"/>
              <w:rPr>
                <w:sz w:val="5"/>
                <w:szCs w:val="5"/>
                <w:color w:val="auto"/>
              </w:rPr>
            </w:pPr>
          </w:p>
        </w:tc>
        <w:tc>
          <w:tcPr>
            <w:tcW w:w="1020" w:type="dxa"/>
            <w:vAlign w:val="bottom"/>
          </w:tcPr>
          <w:p>
            <w:pPr>
              <w:spacing w:after="0"/>
              <w:rPr>
                <w:sz w:val="5"/>
                <w:szCs w:val="5"/>
                <w:color w:val="auto"/>
              </w:rPr>
            </w:pPr>
          </w:p>
        </w:tc>
        <w:tc>
          <w:tcPr>
            <w:tcW w:w="220" w:type="dxa"/>
            <w:vAlign w:val="bottom"/>
          </w:tcPr>
          <w:p>
            <w:pPr>
              <w:spacing w:after="0"/>
              <w:rPr>
                <w:sz w:val="5"/>
                <w:szCs w:val="5"/>
                <w:color w:val="auto"/>
              </w:rPr>
            </w:pPr>
          </w:p>
        </w:tc>
        <w:tc>
          <w:tcPr>
            <w:tcW w:w="660" w:type="dxa"/>
            <w:vAlign w:val="bottom"/>
            <w:vMerge w:val="continue"/>
          </w:tcPr>
          <w:p>
            <w:pPr>
              <w:spacing w:after="0"/>
              <w:rPr>
                <w:sz w:val="5"/>
                <w:szCs w:val="5"/>
                <w:color w:val="auto"/>
              </w:rPr>
            </w:pPr>
          </w:p>
        </w:tc>
        <w:tc>
          <w:tcPr>
            <w:tcW w:w="840" w:type="dxa"/>
            <w:vAlign w:val="bottom"/>
          </w:tcPr>
          <w:p>
            <w:pPr>
              <w:spacing w:after="0"/>
              <w:rPr>
                <w:sz w:val="5"/>
                <w:szCs w:val="5"/>
                <w:color w:val="auto"/>
              </w:rPr>
            </w:pPr>
          </w:p>
        </w:tc>
        <w:tc>
          <w:tcPr>
            <w:tcW w:w="1000" w:type="dxa"/>
            <w:vAlign w:val="bottom"/>
          </w:tcPr>
          <w:p>
            <w:pPr>
              <w:spacing w:after="0"/>
              <w:rPr>
                <w:sz w:val="5"/>
                <w:szCs w:val="5"/>
                <w:color w:val="auto"/>
              </w:rPr>
            </w:pPr>
          </w:p>
        </w:tc>
        <w:tc>
          <w:tcPr>
            <w:tcW w:w="740" w:type="dxa"/>
            <w:vAlign w:val="bottom"/>
          </w:tcPr>
          <w:p>
            <w:pPr>
              <w:spacing w:after="0"/>
              <w:rPr>
                <w:sz w:val="5"/>
                <w:szCs w:val="5"/>
                <w:color w:val="auto"/>
              </w:rPr>
            </w:pPr>
          </w:p>
        </w:tc>
        <w:tc>
          <w:tcPr>
            <w:tcW w:w="8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94"/>
        </w:trPr>
        <w:tc>
          <w:tcPr>
            <w:tcW w:w="740" w:type="dxa"/>
            <w:vAlign w:val="bottom"/>
          </w:tcPr>
          <w:p>
            <w:pPr>
              <w:ind w:left="40"/>
              <w:spacing w:after="0" w:line="194" w:lineRule="exact"/>
              <w:rPr>
                <w:sz w:val="20"/>
                <w:szCs w:val="20"/>
                <w:color w:val="auto"/>
              </w:rPr>
            </w:pPr>
            <w:r>
              <w:rPr>
                <w:rFonts w:ascii="Arial" w:cs="Arial" w:eastAsia="Arial" w:hAnsi="Arial"/>
                <w:sz w:val="17"/>
                <w:szCs w:val="17"/>
                <w:color w:val="auto"/>
              </w:rPr>
              <w:t>Gulong,</w:t>
            </w:r>
          </w:p>
        </w:tc>
        <w:tc>
          <w:tcPr>
            <w:tcW w:w="820" w:type="dxa"/>
            <w:vAlign w:val="bottom"/>
          </w:tcPr>
          <w:p>
            <w:pPr>
              <w:jc w:val="center"/>
              <w:spacing w:after="0" w:line="194" w:lineRule="exact"/>
              <w:rPr>
                <w:sz w:val="20"/>
                <w:szCs w:val="20"/>
                <w:color w:val="auto"/>
              </w:rPr>
            </w:pPr>
            <w:r>
              <w:rPr>
                <w:rFonts w:ascii="Arial" w:cs="Arial" w:eastAsia="Arial" w:hAnsi="Arial"/>
                <w:sz w:val="17"/>
                <w:szCs w:val="17"/>
                <w:color w:val="auto"/>
              </w:rPr>
              <w:t>1600–</w:t>
            </w:r>
          </w:p>
        </w:tc>
        <w:tc>
          <w:tcPr>
            <w:tcW w:w="760" w:type="dxa"/>
            <w:vAlign w:val="bottom"/>
            <w:vMerge w:val="restart"/>
          </w:tcPr>
          <w:p>
            <w:pPr>
              <w:jc w:val="center"/>
              <w:spacing w:after="0"/>
              <w:rPr>
                <w:sz w:val="20"/>
                <w:szCs w:val="20"/>
                <w:color w:val="auto"/>
              </w:rPr>
            </w:pPr>
            <w:r>
              <w:rPr>
                <w:rFonts w:ascii="Arial" w:cs="Arial" w:eastAsia="Arial" w:hAnsi="Arial"/>
                <w:sz w:val="17"/>
                <w:szCs w:val="17"/>
                <w:color w:val="auto"/>
              </w:rPr>
              <w:t>50–70</w:t>
            </w:r>
          </w:p>
        </w:tc>
        <w:tc>
          <w:tcPr>
            <w:tcW w:w="720" w:type="dxa"/>
            <w:vAlign w:val="bottom"/>
            <w:vMerge w:val="restart"/>
          </w:tcPr>
          <w:p>
            <w:pPr>
              <w:jc w:val="center"/>
              <w:spacing w:after="0"/>
              <w:rPr>
                <w:sz w:val="20"/>
                <w:szCs w:val="20"/>
                <w:color w:val="auto"/>
              </w:rPr>
            </w:pPr>
            <w:r>
              <w:rPr>
                <w:rFonts w:ascii="Arial" w:cs="Arial" w:eastAsia="Arial" w:hAnsi="Arial"/>
                <w:sz w:val="17"/>
                <w:szCs w:val="17"/>
                <w:color w:val="auto"/>
                <w:w w:val="98"/>
              </w:rPr>
              <w:t>6–8</w:t>
            </w:r>
          </w:p>
        </w:tc>
        <w:tc>
          <w:tcPr>
            <w:tcW w:w="880" w:type="dxa"/>
            <w:vAlign w:val="bottom"/>
            <w:vMerge w:val="restart"/>
          </w:tcPr>
          <w:p>
            <w:pPr>
              <w:jc w:val="center"/>
              <w:spacing w:after="0"/>
              <w:rPr>
                <w:sz w:val="20"/>
                <w:szCs w:val="20"/>
                <w:color w:val="auto"/>
              </w:rPr>
            </w:pPr>
            <w:r>
              <w:rPr>
                <w:rFonts w:ascii="Arial" w:cs="Arial" w:eastAsia="Arial" w:hAnsi="Arial"/>
                <w:sz w:val="17"/>
                <w:szCs w:val="17"/>
                <w:color w:val="auto"/>
              </w:rPr>
              <w:t>7–10</w:t>
            </w:r>
          </w:p>
        </w:tc>
        <w:tc>
          <w:tcPr>
            <w:tcW w:w="740" w:type="dxa"/>
            <w:vAlign w:val="bottom"/>
            <w:vMerge w:val="restart"/>
          </w:tcPr>
          <w:p>
            <w:pPr>
              <w:jc w:val="center"/>
              <w:spacing w:after="0"/>
              <w:rPr>
                <w:sz w:val="20"/>
                <w:szCs w:val="20"/>
                <w:color w:val="auto"/>
              </w:rPr>
            </w:pPr>
            <w:r>
              <w:rPr>
                <w:rFonts w:ascii="Arial" w:cs="Arial" w:eastAsia="Arial" w:hAnsi="Arial"/>
                <w:sz w:val="17"/>
                <w:szCs w:val="17"/>
                <w:color w:val="auto"/>
                <w:w w:val="99"/>
              </w:rPr>
              <w:t>190–340</w:t>
            </w:r>
          </w:p>
        </w:tc>
        <w:tc>
          <w:tcPr>
            <w:tcW w:w="1020" w:type="dxa"/>
            <w:vAlign w:val="bottom"/>
            <w:vMerge w:val="restart"/>
          </w:tcPr>
          <w:p>
            <w:pPr>
              <w:jc w:val="center"/>
              <w:ind w:left="135"/>
              <w:spacing w:after="0"/>
              <w:rPr>
                <w:sz w:val="20"/>
                <w:szCs w:val="20"/>
                <w:color w:val="auto"/>
              </w:rPr>
            </w:pPr>
            <w:r>
              <w:rPr>
                <w:rFonts w:ascii="Arial" w:cs="Arial" w:eastAsia="Arial" w:hAnsi="Arial"/>
                <w:sz w:val="17"/>
                <w:szCs w:val="17"/>
                <w:color w:val="auto"/>
              </w:rPr>
              <w:t>118–136</w:t>
            </w:r>
          </w:p>
        </w:tc>
        <w:tc>
          <w:tcPr>
            <w:tcW w:w="220" w:type="dxa"/>
            <w:vAlign w:val="bottom"/>
          </w:tcPr>
          <w:p>
            <w:pPr>
              <w:spacing w:after="0"/>
              <w:rPr>
                <w:sz w:val="16"/>
                <w:szCs w:val="16"/>
                <w:color w:val="auto"/>
              </w:rPr>
            </w:pPr>
          </w:p>
        </w:tc>
        <w:tc>
          <w:tcPr>
            <w:tcW w:w="660" w:type="dxa"/>
            <w:vAlign w:val="bottom"/>
          </w:tcPr>
          <w:p>
            <w:pPr>
              <w:jc w:val="center"/>
              <w:spacing w:after="0" w:line="194" w:lineRule="exact"/>
              <w:rPr>
                <w:sz w:val="20"/>
                <w:szCs w:val="20"/>
                <w:color w:val="auto"/>
              </w:rPr>
            </w:pPr>
            <w:r>
              <w:rPr>
                <w:rFonts w:ascii="Arial" w:cs="Arial" w:eastAsia="Arial" w:hAnsi="Arial"/>
                <w:sz w:val="17"/>
                <w:szCs w:val="17"/>
                <w:color w:val="auto"/>
                <w:w w:val="98"/>
              </w:rPr>
              <w:t>10.0–</w:t>
            </w:r>
          </w:p>
        </w:tc>
        <w:tc>
          <w:tcPr>
            <w:tcW w:w="840" w:type="dxa"/>
            <w:vAlign w:val="bottom"/>
          </w:tcPr>
          <w:p>
            <w:pPr>
              <w:spacing w:after="0"/>
              <w:rPr>
                <w:sz w:val="16"/>
                <w:szCs w:val="16"/>
                <w:color w:val="auto"/>
              </w:rPr>
            </w:pPr>
          </w:p>
        </w:tc>
        <w:tc>
          <w:tcPr>
            <w:tcW w:w="1000" w:type="dxa"/>
            <w:vAlign w:val="bottom"/>
            <w:vMerge w:val="restart"/>
          </w:tcPr>
          <w:p>
            <w:pPr>
              <w:jc w:val="center"/>
              <w:spacing w:after="0"/>
              <w:rPr>
                <w:sz w:val="20"/>
                <w:szCs w:val="20"/>
                <w:color w:val="auto"/>
              </w:rPr>
            </w:pPr>
            <w:r>
              <w:rPr>
                <w:rFonts w:ascii="Arial" w:cs="Arial" w:eastAsia="Arial" w:hAnsi="Arial"/>
                <w:sz w:val="17"/>
                <w:szCs w:val="17"/>
                <w:color w:val="auto"/>
              </w:rPr>
              <w:t>12–16</w:t>
            </w:r>
          </w:p>
        </w:tc>
        <w:tc>
          <w:tcPr>
            <w:tcW w:w="740" w:type="dxa"/>
            <w:vAlign w:val="bottom"/>
            <w:vMerge w:val="restart"/>
          </w:tcPr>
          <w:p>
            <w:pPr>
              <w:jc w:val="center"/>
              <w:spacing w:after="0"/>
              <w:rPr>
                <w:sz w:val="20"/>
                <w:szCs w:val="20"/>
                <w:color w:val="auto"/>
              </w:rPr>
            </w:pPr>
            <w:r>
              <w:rPr>
                <w:rFonts w:ascii="Arial" w:cs="Arial" w:eastAsia="Arial" w:hAnsi="Arial"/>
                <w:sz w:val="17"/>
                <w:szCs w:val="17"/>
                <w:color w:val="auto"/>
              </w:rPr>
              <w:t>3.5–4.5</w:t>
            </w:r>
          </w:p>
        </w:tc>
        <w:tc>
          <w:tcPr>
            <w:tcW w:w="860" w:type="dxa"/>
            <w:vAlign w:val="bottom"/>
            <w:vMerge w:val="restart"/>
          </w:tcPr>
          <w:p>
            <w:pPr>
              <w:jc w:val="center"/>
              <w:spacing w:after="0"/>
              <w:rPr>
                <w:sz w:val="20"/>
                <w:szCs w:val="20"/>
                <w:color w:val="auto"/>
              </w:rPr>
            </w:pPr>
            <w:r>
              <w:rPr>
                <w:rFonts w:ascii="Arial" w:cs="Arial" w:eastAsia="Arial" w:hAnsi="Arial"/>
                <w:sz w:val="17"/>
                <w:szCs w:val="17"/>
                <w:color w:val="auto"/>
              </w:rPr>
              <w:t>21–28</w:t>
            </w:r>
          </w:p>
        </w:tc>
        <w:tc>
          <w:tcPr>
            <w:tcW w:w="0" w:type="dxa"/>
            <w:vAlign w:val="bottom"/>
          </w:tcPr>
          <w:p>
            <w:pPr>
              <w:spacing w:after="0"/>
              <w:rPr>
                <w:sz w:val="1"/>
                <w:szCs w:val="1"/>
                <w:color w:val="auto"/>
              </w:rPr>
            </w:pPr>
          </w:p>
        </w:tc>
      </w:tr>
      <w:tr>
        <w:trPr>
          <w:trHeight w:val="133"/>
        </w:trPr>
        <w:tc>
          <w:tcPr>
            <w:tcW w:w="740" w:type="dxa"/>
            <w:vAlign w:val="bottom"/>
            <w:vMerge w:val="restart"/>
          </w:tcPr>
          <w:p>
            <w:pPr>
              <w:ind w:left="40"/>
              <w:spacing w:after="0"/>
              <w:rPr>
                <w:sz w:val="20"/>
                <w:szCs w:val="20"/>
                <w:color w:val="auto"/>
              </w:rPr>
            </w:pPr>
            <w:r>
              <w:rPr>
                <w:rFonts w:ascii="Arial" w:cs="Arial" w:eastAsia="Arial" w:hAnsi="Arial"/>
                <w:sz w:val="17"/>
                <w:szCs w:val="17"/>
                <w:color w:val="auto"/>
              </w:rPr>
              <w:t>Daqing</w:t>
            </w:r>
          </w:p>
        </w:tc>
        <w:tc>
          <w:tcPr>
            <w:tcW w:w="820" w:type="dxa"/>
            <w:vAlign w:val="bottom"/>
            <w:vMerge w:val="restart"/>
          </w:tcPr>
          <w:p>
            <w:pPr>
              <w:jc w:val="center"/>
              <w:spacing w:after="0"/>
              <w:rPr>
                <w:sz w:val="20"/>
                <w:szCs w:val="20"/>
                <w:color w:val="auto"/>
              </w:rPr>
            </w:pPr>
            <w:r>
              <w:rPr>
                <w:rFonts w:ascii="Arial" w:cs="Arial" w:eastAsia="Arial" w:hAnsi="Arial"/>
                <w:sz w:val="17"/>
                <w:szCs w:val="17"/>
                <w:color w:val="auto"/>
              </w:rPr>
              <w:t>2500</w:t>
            </w:r>
          </w:p>
        </w:tc>
        <w:tc>
          <w:tcPr>
            <w:tcW w:w="760" w:type="dxa"/>
            <w:vAlign w:val="bottom"/>
            <w:vMerge w:val="continue"/>
          </w:tcPr>
          <w:p>
            <w:pPr>
              <w:spacing w:after="0"/>
              <w:rPr>
                <w:sz w:val="11"/>
                <w:szCs w:val="11"/>
                <w:color w:val="auto"/>
              </w:rPr>
            </w:pPr>
          </w:p>
        </w:tc>
        <w:tc>
          <w:tcPr>
            <w:tcW w:w="720" w:type="dxa"/>
            <w:vAlign w:val="bottom"/>
            <w:vMerge w:val="continue"/>
          </w:tcPr>
          <w:p>
            <w:pPr>
              <w:spacing w:after="0"/>
              <w:rPr>
                <w:sz w:val="11"/>
                <w:szCs w:val="11"/>
                <w:color w:val="auto"/>
              </w:rPr>
            </w:pPr>
          </w:p>
        </w:tc>
        <w:tc>
          <w:tcPr>
            <w:tcW w:w="88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1020" w:type="dxa"/>
            <w:vAlign w:val="bottom"/>
            <w:vMerge w:val="continue"/>
          </w:tcPr>
          <w:p>
            <w:pPr>
              <w:spacing w:after="0"/>
              <w:rPr>
                <w:sz w:val="11"/>
                <w:szCs w:val="11"/>
                <w:color w:val="auto"/>
              </w:rPr>
            </w:pPr>
          </w:p>
        </w:tc>
        <w:tc>
          <w:tcPr>
            <w:tcW w:w="220" w:type="dxa"/>
            <w:vAlign w:val="bottom"/>
          </w:tcPr>
          <w:p>
            <w:pPr>
              <w:spacing w:after="0"/>
              <w:rPr>
                <w:sz w:val="11"/>
                <w:szCs w:val="11"/>
                <w:color w:val="auto"/>
              </w:rPr>
            </w:pPr>
          </w:p>
        </w:tc>
        <w:tc>
          <w:tcPr>
            <w:tcW w:w="660" w:type="dxa"/>
            <w:vAlign w:val="bottom"/>
            <w:vMerge w:val="restart"/>
          </w:tcPr>
          <w:p>
            <w:pPr>
              <w:jc w:val="center"/>
              <w:spacing w:after="0"/>
              <w:rPr>
                <w:sz w:val="20"/>
                <w:szCs w:val="20"/>
                <w:color w:val="auto"/>
              </w:rPr>
            </w:pPr>
            <w:r>
              <w:rPr>
                <w:rFonts w:ascii="Arial" w:cs="Arial" w:eastAsia="Arial" w:hAnsi="Arial"/>
                <w:sz w:val="17"/>
                <w:szCs w:val="17"/>
                <w:color w:val="auto"/>
              </w:rPr>
              <w:t>11.0</w:t>
            </w:r>
          </w:p>
        </w:tc>
        <w:tc>
          <w:tcPr>
            <w:tcW w:w="840" w:type="dxa"/>
            <w:vAlign w:val="bottom"/>
          </w:tcPr>
          <w:p>
            <w:pPr>
              <w:spacing w:after="0"/>
              <w:rPr>
                <w:sz w:val="11"/>
                <w:szCs w:val="11"/>
                <w:color w:val="auto"/>
              </w:rPr>
            </w:pPr>
          </w:p>
        </w:tc>
        <w:tc>
          <w:tcPr>
            <w:tcW w:w="100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8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82"/>
        </w:trPr>
        <w:tc>
          <w:tcPr>
            <w:tcW w:w="740" w:type="dxa"/>
            <w:vAlign w:val="bottom"/>
            <w:tcBorders>
              <w:bottom w:val="single" w:sz="8" w:color="auto"/>
            </w:tcBorders>
            <w:vMerge w:val="continue"/>
          </w:tcPr>
          <w:p>
            <w:pPr>
              <w:spacing w:after="0"/>
              <w:rPr>
                <w:sz w:val="7"/>
                <w:szCs w:val="7"/>
                <w:color w:val="auto"/>
              </w:rPr>
            </w:pPr>
          </w:p>
        </w:tc>
        <w:tc>
          <w:tcPr>
            <w:tcW w:w="820" w:type="dxa"/>
            <w:vAlign w:val="bottom"/>
            <w:tcBorders>
              <w:bottom w:val="single" w:sz="8" w:color="auto"/>
            </w:tcBorders>
            <w:vMerge w:val="continue"/>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720" w:type="dxa"/>
            <w:vAlign w:val="bottom"/>
            <w:tcBorders>
              <w:bottom w:val="single" w:sz="8" w:color="auto"/>
            </w:tcBorders>
          </w:tcPr>
          <w:p>
            <w:pPr>
              <w:spacing w:after="0"/>
              <w:rPr>
                <w:sz w:val="7"/>
                <w:szCs w:val="7"/>
                <w:color w:val="auto"/>
              </w:rPr>
            </w:pPr>
          </w:p>
        </w:tc>
        <w:tc>
          <w:tcPr>
            <w:tcW w:w="880" w:type="dxa"/>
            <w:vAlign w:val="bottom"/>
            <w:tcBorders>
              <w:bottom w:val="single" w:sz="8" w:color="auto"/>
            </w:tcBorders>
          </w:tcPr>
          <w:p>
            <w:pPr>
              <w:spacing w:after="0"/>
              <w:rPr>
                <w:sz w:val="7"/>
                <w:szCs w:val="7"/>
                <w:color w:val="auto"/>
              </w:rPr>
            </w:pPr>
          </w:p>
        </w:tc>
        <w:tc>
          <w:tcPr>
            <w:tcW w:w="740" w:type="dxa"/>
            <w:vAlign w:val="bottom"/>
            <w:tcBorders>
              <w:bottom w:val="single" w:sz="8" w:color="auto"/>
            </w:tcBorders>
          </w:tcPr>
          <w:p>
            <w:pPr>
              <w:spacing w:after="0"/>
              <w:rPr>
                <w:sz w:val="7"/>
                <w:szCs w:val="7"/>
                <w:color w:val="auto"/>
              </w:rPr>
            </w:pPr>
          </w:p>
        </w:tc>
        <w:tc>
          <w:tcPr>
            <w:tcW w:w="1020" w:type="dxa"/>
            <w:vAlign w:val="bottom"/>
            <w:tcBorders>
              <w:bottom w:val="single" w:sz="8" w:color="auto"/>
            </w:tcBorders>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660" w:type="dxa"/>
            <w:vAlign w:val="bottom"/>
            <w:tcBorders>
              <w:bottom w:val="single" w:sz="8" w:color="auto"/>
            </w:tcBorders>
            <w:vMerge w:val="continue"/>
          </w:tcPr>
          <w:p>
            <w:pPr>
              <w:spacing w:after="0"/>
              <w:rPr>
                <w:sz w:val="7"/>
                <w:szCs w:val="7"/>
                <w:color w:val="auto"/>
              </w:rPr>
            </w:pPr>
          </w:p>
        </w:tc>
        <w:tc>
          <w:tcPr>
            <w:tcW w:w="840" w:type="dxa"/>
            <w:vAlign w:val="bottom"/>
            <w:tcBorders>
              <w:bottom w:val="single" w:sz="8" w:color="auto"/>
            </w:tcBorders>
          </w:tcPr>
          <w:p>
            <w:pPr>
              <w:spacing w:after="0"/>
              <w:rPr>
                <w:sz w:val="7"/>
                <w:szCs w:val="7"/>
                <w:color w:val="auto"/>
              </w:rPr>
            </w:pPr>
          </w:p>
        </w:tc>
        <w:tc>
          <w:tcPr>
            <w:tcW w:w="1000" w:type="dxa"/>
            <w:vAlign w:val="bottom"/>
            <w:tcBorders>
              <w:bottom w:val="single" w:sz="8" w:color="auto"/>
            </w:tcBorders>
          </w:tcPr>
          <w:p>
            <w:pPr>
              <w:spacing w:after="0"/>
              <w:rPr>
                <w:sz w:val="7"/>
                <w:szCs w:val="7"/>
                <w:color w:val="auto"/>
              </w:rPr>
            </w:pPr>
          </w:p>
        </w:tc>
        <w:tc>
          <w:tcPr>
            <w:tcW w:w="740" w:type="dxa"/>
            <w:vAlign w:val="bottom"/>
            <w:tcBorders>
              <w:bottom w:val="single" w:sz="8" w:color="auto"/>
            </w:tcBorders>
          </w:tcPr>
          <w:p>
            <w:pPr>
              <w:spacing w:after="0"/>
              <w:rPr>
                <w:sz w:val="7"/>
                <w:szCs w:val="7"/>
                <w:color w:val="auto"/>
              </w:rPr>
            </w:pPr>
          </w:p>
        </w:tc>
        <w:tc>
          <w:tcPr>
            <w:tcW w:w="86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3742690</wp:posOffset>
            </wp:positionH>
            <wp:positionV relativeFrom="paragraph">
              <wp:posOffset>-1137920</wp:posOffset>
            </wp:positionV>
            <wp:extent cx="426085" cy="10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extLst>
                    </a:blip>
                    <a:srcRect/>
                    <a:stretch>
                      <a:fillRect/>
                    </a:stretch>
                  </pic:blipFill>
                  <pic:spPr bwMode="auto">
                    <a:xfrm>
                      <a:off x="0" y="0"/>
                      <a:ext cx="426085" cy="10795"/>
                    </a:xfrm>
                    <a:prstGeom prst="rect">
                      <a:avLst/>
                    </a:prstGeom>
                    <a:noFill/>
                  </pic:spPr>
                </pic:pic>
              </a:graphicData>
            </a:graphic>
          </wp:anchor>
        </w:drawing>
      </w:r>
    </w:p>
    <w:p>
      <w:pPr>
        <w:spacing w:after="0" w:line="210" w:lineRule="exact"/>
        <w:rPr>
          <w:sz w:val="20"/>
          <w:szCs w:val="20"/>
          <w:color w:val="auto"/>
        </w:rPr>
      </w:pPr>
    </w:p>
    <w:p>
      <w:pPr>
        <w:jc w:val="both"/>
        <w:ind w:right="40"/>
        <w:spacing w:after="0" w:line="325" w:lineRule="auto"/>
        <w:rPr>
          <w:sz w:val="20"/>
          <w:szCs w:val="20"/>
          <w:color w:val="auto"/>
        </w:rPr>
      </w:pPr>
      <w:r>
        <w:rPr>
          <w:rFonts w:ascii="Arial" w:cs="Arial" w:eastAsia="Arial" w:hAnsi="Arial"/>
          <w:sz w:val="17"/>
          <w:szCs w:val="17"/>
          <w:b w:val="1"/>
          <w:bCs w:val="1"/>
          <w:color w:val="auto"/>
        </w:rPr>
        <w:t>Table 4. Comparison of horizontal-well construction parameters of typical shale gas blocks between China and the United States</w:t>
      </w:r>
    </w:p>
    <w:tbl>
      <w:tblPr>
        <w:tblLayout w:type="fixed"/>
        <w:tblInd w:w="0" w:type="dxa"/>
        <w:tblCellMar>
          <w:top w:w="0" w:type="dxa"/>
          <w:left w:w="0" w:type="dxa"/>
          <w:bottom w:w="0" w:type="dxa"/>
          <w:right w:w="0" w:type="dxa"/>
        </w:tblCellMar>
      </w:tblPr>
      <w:tr>
        <w:trPr>
          <w:trHeight w:val="177"/>
        </w:trPr>
        <w:tc>
          <w:tcPr>
            <w:tcW w:w="940" w:type="dxa"/>
            <w:vAlign w:val="bottom"/>
            <w:tcBorders>
              <w:top w:val="single" w:sz="8" w:color="auto"/>
            </w:tcBorders>
          </w:tcPr>
          <w:p>
            <w:pPr>
              <w:spacing w:after="0"/>
              <w:rPr>
                <w:sz w:val="15"/>
                <w:szCs w:val="15"/>
                <w:color w:val="auto"/>
              </w:rPr>
            </w:pPr>
          </w:p>
        </w:tc>
        <w:tc>
          <w:tcPr>
            <w:tcW w:w="900" w:type="dxa"/>
            <w:vAlign w:val="bottom"/>
            <w:tcBorders>
              <w:top w:val="single" w:sz="8" w:color="auto"/>
            </w:tcBorders>
            <w:vMerge w:val="restart"/>
          </w:tcPr>
          <w:p>
            <w:pPr>
              <w:jc w:val="center"/>
              <w:spacing w:after="0"/>
              <w:rPr>
                <w:sz w:val="20"/>
                <w:szCs w:val="20"/>
                <w:color w:val="auto"/>
              </w:rPr>
            </w:pPr>
            <w:r>
              <w:rPr>
                <w:rFonts w:ascii="Arial" w:cs="Arial" w:eastAsia="Arial" w:hAnsi="Arial"/>
                <w:sz w:val="17"/>
                <w:szCs w:val="17"/>
                <w:color w:val="auto"/>
                <w:w w:val="98"/>
              </w:rPr>
              <w:t>Length of</w:t>
            </w:r>
          </w:p>
        </w:tc>
        <w:tc>
          <w:tcPr>
            <w:tcW w:w="780" w:type="dxa"/>
            <w:vAlign w:val="bottom"/>
            <w:tcBorders>
              <w:top w:val="single" w:sz="8" w:color="auto"/>
            </w:tcBorders>
            <w:vMerge w:val="restart"/>
          </w:tcPr>
          <w:p>
            <w:pPr>
              <w:jc w:val="center"/>
              <w:spacing w:after="0"/>
              <w:rPr>
                <w:sz w:val="20"/>
                <w:szCs w:val="20"/>
                <w:color w:val="auto"/>
              </w:rPr>
            </w:pPr>
            <w:r>
              <w:rPr>
                <w:rFonts w:ascii="Arial" w:cs="Arial" w:eastAsia="Arial" w:hAnsi="Arial"/>
                <w:sz w:val="17"/>
                <w:szCs w:val="17"/>
                <w:color w:val="auto"/>
                <w:w w:val="98"/>
              </w:rPr>
              <w:t>Length of</w:t>
            </w:r>
          </w:p>
        </w:tc>
        <w:tc>
          <w:tcPr>
            <w:tcW w:w="740" w:type="dxa"/>
            <w:vAlign w:val="bottom"/>
            <w:tcBorders>
              <w:top w:val="single" w:sz="8" w:color="auto"/>
            </w:tcBorders>
            <w:vMerge w:val="restart"/>
          </w:tcPr>
          <w:p>
            <w:pPr>
              <w:jc w:val="center"/>
              <w:spacing w:after="0"/>
              <w:rPr>
                <w:sz w:val="20"/>
                <w:szCs w:val="20"/>
                <w:color w:val="auto"/>
              </w:rPr>
            </w:pPr>
            <w:r>
              <w:rPr>
                <w:rFonts w:ascii="Arial" w:cs="Arial" w:eastAsia="Arial" w:hAnsi="Arial"/>
                <w:sz w:val="17"/>
                <w:szCs w:val="17"/>
                <w:color w:val="auto"/>
              </w:rPr>
              <w:t>Cluster</w:t>
            </w:r>
          </w:p>
        </w:tc>
        <w:tc>
          <w:tcPr>
            <w:tcW w:w="720" w:type="dxa"/>
            <w:vAlign w:val="bottom"/>
            <w:tcBorders>
              <w:top w:val="single" w:sz="8" w:color="auto"/>
            </w:tcBorders>
          </w:tcPr>
          <w:p>
            <w:pPr>
              <w:jc w:val="center"/>
              <w:spacing w:after="0" w:line="177" w:lineRule="exact"/>
              <w:rPr>
                <w:sz w:val="20"/>
                <w:szCs w:val="20"/>
                <w:color w:val="auto"/>
              </w:rPr>
            </w:pPr>
            <w:r>
              <w:rPr>
                <w:rFonts w:ascii="Arial" w:cs="Arial" w:eastAsia="Arial" w:hAnsi="Arial"/>
                <w:sz w:val="17"/>
                <w:szCs w:val="17"/>
                <w:color w:val="auto"/>
                <w:w w:val="99"/>
              </w:rPr>
              <w:t>Number</w:t>
            </w:r>
          </w:p>
        </w:tc>
        <w:tc>
          <w:tcPr>
            <w:tcW w:w="740" w:type="dxa"/>
            <w:vAlign w:val="bottom"/>
            <w:tcBorders>
              <w:top w:val="single" w:sz="8" w:color="auto"/>
            </w:tcBorders>
            <w:vMerge w:val="restart"/>
          </w:tcPr>
          <w:p>
            <w:pPr>
              <w:jc w:val="center"/>
              <w:spacing w:after="0"/>
              <w:rPr>
                <w:sz w:val="20"/>
                <w:szCs w:val="20"/>
                <w:color w:val="auto"/>
              </w:rPr>
            </w:pPr>
            <w:r>
              <w:rPr>
                <w:rFonts w:ascii="Arial" w:cs="Arial" w:eastAsia="Arial" w:hAnsi="Arial"/>
                <w:sz w:val="17"/>
                <w:szCs w:val="17"/>
                <w:color w:val="auto"/>
              </w:rPr>
              <w:t>Number</w:t>
            </w:r>
          </w:p>
        </w:tc>
        <w:tc>
          <w:tcPr>
            <w:tcW w:w="1040" w:type="dxa"/>
            <w:vAlign w:val="bottom"/>
            <w:tcBorders>
              <w:top w:val="single" w:sz="8" w:color="auto"/>
            </w:tcBorders>
            <w:vMerge w:val="restart"/>
          </w:tcPr>
          <w:p>
            <w:pPr>
              <w:jc w:val="center"/>
              <w:ind w:left="59"/>
              <w:spacing w:after="0"/>
              <w:rPr>
                <w:sz w:val="20"/>
                <w:szCs w:val="20"/>
                <w:color w:val="auto"/>
              </w:rPr>
            </w:pPr>
            <w:r>
              <w:rPr>
                <w:rFonts w:ascii="Arial" w:cs="Arial" w:eastAsia="Arial" w:hAnsi="Arial"/>
                <w:sz w:val="17"/>
                <w:szCs w:val="17"/>
                <w:color w:val="auto"/>
                <w:w w:val="97"/>
              </w:rPr>
              <w:t>Fracture</w:t>
            </w:r>
          </w:p>
        </w:tc>
        <w:tc>
          <w:tcPr>
            <w:tcW w:w="140" w:type="dxa"/>
            <w:vAlign w:val="bottom"/>
            <w:tcBorders>
              <w:top w:val="single" w:sz="8" w:color="auto"/>
            </w:tcBorders>
          </w:tcPr>
          <w:p>
            <w:pPr>
              <w:spacing w:after="0"/>
              <w:rPr>
                <w:sz w:val="15"/>
                <w:szCs w:val="15"/>
                <w:color w:val="auto"/>
              </w:rPr>
            </w:pPr>
          </w:p>
        </w:tc>
        <w:tc>
          <w:tcPr>
            <w:tcW w:w="2500" w:type="dxa"/>
            <w:vAlign w:val="bottom"/>
            <w:tcBorders>
              <w:top w:val="single" w:sz="8" w:color="auto"/>
            </w:tcBorders>
            <w:gridSpan w:val="3"/>
            <w:vMerge w:val="restart"/>
          </w:tcPr>
          <w:p>
            <w:pPr>
              <w:ind w:left="60"/>
              <w:spacing w:after="0"/>
              <w:rPr>
                <w:sz w:val="20"/>
                <w:szCs w:val="20"/>
                <w:color w:val="auto"/>
              </w:rPr>
            </w:pPr>
            <w:r>
              <w:rPr>
                <w:rFonts w:ascii="Arial" w:cs="Arial" w:eastAsia="Arial" w:hAnsi="Arial"/>
                <w:sz w:val="17"/>
                <w:szCs w:val="17"/>
                <w:color w:val="auto"/>
              </w:rPr>
              <w:t>Single-   Single-  Construction</w:t>
            </w:r>
          </w:p>
        </w:tc>
        <w:tc>
          <w:tcPr>
            <w:tcW w:w="740" w:type="dxa"/>
            <w:vAlign w:val="bottom"/>
            <w:tcBorders>
              <w:top w:val="single" w:sz="8" w:color="auto"/>
            </w:tcBorders>
            <w:vMerge w:val="restart"/>
          </w:tcPr>
          <w:p>
            <w:pPr>
              <w:jc w:val="center"/>
              <w:spacing w:after="0"/>
              <w:rPr>
                <w:sz w:val="20"/>
                <w:szCs w:val="20"/>
                <w:color w:val="auto"/>
              </w:rPr>
            </w:pPr>
            <w:r>
              <w:rPr>
                <w:rFonts w:ascii="Arial" w:cs="Arial" w:eastAsia="Arial" w:hAnsi="Arial"/>
                <w:sz w:val="17"/>
                <w:szCs w:val="17"/>
                <w:color w:val="auto"/>
                <w:w w:val="99"/>
              </w:rPr>
              <w:t>Sanding</w:t>
            </w:r>
          </w:p>
        </w:tc>
        <w:tc>
          <w:tcPr>
            <w:tcW w:w="760" w:type="dxa"/>
            <w:vAlign w:val="bottom"/>
            <w:tcBorders>
              <w:top w:val="single" w:sz="8" w:color="auto"/>
            </w:tcBorders>
            <w:vMerge w:val="restart"/>
          </w:tcPr>
          <w:p>
            <w:pPr>
              <w:jc w:val="center"/>
              <w:spacing w:after="0"/>
              <w:rPr>
                <w:sz w:val="20"/>
                <w:szCs w:val="20"/>
                <w:color w:val="auto"/>
              </w:rPr>
            </w:pPr>
            <w:r>
              <w:rPr>
                <w:rFonts w:ascii="Arial" w:cs="Arial" w:eastAsia="Arial" w:hAnsi="Arial"/>
                <w:sz w:val="17"/>
                <w:szCs w:val="17"/>
                <w:color w:val="auto"/>
              </w:rPr>
              <w:t>Fractur-</w:t>
            </w:r>
          </w:p>
        </w:tc>
        <w:tc>
          <w:tcPr>
            <w:tcW w:w="0" w:type="dxa"/>
            <w:vAlign w:val="bottom"/>
          </w:tcPr>
          <w:p>
            <w:pPr>
              <w:spacing w:after="0"/>
              <w:rPr>
                <w:sz w:val="1"/>
                <w:szCs w:val="1"/>
                <w:color w:val="auto"/>
              </w:rPr>
            </w:pPr>
          </w:p>
        </w:tc>
      </w:tr>
      <w:tr>
        <w:trPr>
          <w:trHeight w:val="175"/>
        </w:trPr>
        <w:tc>
          <w:tcPr>
            <w:tcW w:w="940" w:type="dxa"/>
            <w:vAlign w:val="bottom"/>
          </w:tcPr>
          <w:p>
            <w:pPr>
              <w:spacing w:after="0"/>
              <w:rPr>
                <w:sz w:val="15"/>
                <w:szCs w:val="15"/>
                <w:color w:val="auto"/>
              </w:rPr>
            </w:pPr>
          </w:p>
        </w:tc>
        <w:tc>
          <w:tcPr>
            <w:tcW w:w="900" w:type="dxa"/>
            <w:vAlign w:val="bottom"/>
            <w:vMerge w:val="continue"/>
          </w:tcPr>
          <w:p>
            <w:pPr>
              <w:spacing w:after="0"/>
              <w:rPr>
                <w:sz w:val="15"/>
                <w:szCs w:val="15"/>
                <w:color w:val="auto"/>
              </w:rPr>
            </w:pPr>
          </w:p>
        </w:tc>
        <w:tc>
          <w:tcPr>
            <w:tcW w:w="780" w:type="dxa"/>
            <w:vAlign w:val="bottom"/>
            <w:vMerge w:val="continue"/>
          </w:tcPr>
          <w:p>
            <w:pPr>
              <w:spacing w:after="0"/>
              <w:rPr>
                <w:sz w:val="15"/>
                <w:szCs w:val="15"/>
                <w:color w:val="auto"/>
              </w:rPr>
            </w:pPr>
          </w:p>
        </w:tc>
        <w:tc>
          <w:tcPr>
            <w:tcW w:w="740" w:type="dxa"/>
            <w:vAlign w:val="bottom"/>
            <w:vMerge w:val="continue"/>
          </w:tcPr>
          <w:p>
            <w:pPr>
              <w:spacing w:after="0"/>
              <w:rPr>
                <w:sz w:val="15"/>
                <w:szCs w:val="15"/>
                <w:color w:val="auto"/>
              </w:rPr>
            </w:pPr>
          </w:p>
        </w:tc>
        <w:tc>
          <w:tcPr>
            <w:tcW w:w="720" w:type="dxa"/>
            <w:vAlign w:val="bottom"/>
          </w:tcPr>
          <w:p>
            <w:pPr>
              <w:jc w:val="center"/>
              <w:spacing w:after="0" w:line="176" w:lineRule="exact"/>
              <w:rPr>
                <w:sz w:val="20"/>
                <w:szCs w:val="20"/>
                <w:color w:val="auto"/>
              </w:rPr>
            </w:pPr>
            <w:r>
              <w:rPr>
                <w:rFonts w:ascii="Arial" w:cs="Arial" w:eastAsia="Arial" w:hAnsi="Arial"/>
                <w:sz w:val="17"/>
                <w:szCs w:val="17"/>
                <w:color w:val="auto"/>
                <w:w w:val="98"/>
              </w:rPr>
              <w:t>of clus-</w:t>
            </w:r>
          </w:p>
        </w:tc>
        <w:tc>
          <w:tcPr>
            <w:tcW w:w="740" w:type="dxa"/>
            <w:vAlign w:val="bottom"/>
            <w:vMerge w:val="continue"/>
          </w:tcPr>
          <w:p>
            <w:pPr>
              <w:spacing w:after="0"/>
              <w:rPr>
                <w:sz w:val="15"/>
                <w:szCs w:val="15"/>
                <w:color w:val="auto"/>
              </w:rPr>
            </w:pPr>
          </w:p>
        </w:tc>
        <w:tc>
          <w:tcPr>
            <w:tcW w:w="1040" w:type="dxa"/>
            <w:vAlign w:val="bottom"/>
            <w:vMerge w:val="continue"/>
          </w:tcPr>
          <w:p>
            <w:pPr>
              <w:spacing w:after="0"/>
              <w:rPr>
                <w:sz w:val="15"/>
                <w:szCs w:val="15"/>
                <w:color w:val="auto"/>
              </w:rPr>
            </w:pPr>
          </w:p>
        </w:tc>
        <w:tc>
          <w:tcPr>
            <w:tcW w:w="140" w:type="dxa"/>
            <w:vAlign w:val="bottom"/>
          </w:tcPr>
          <w:p>
            <w:pPr>
              <w:spacing w:after="0"/>
              <w:rPr>
                <w:sz w:val="15"/>
                <w:szCs w:val="15"/>
                <w:color w:val="auto"/>
              </w:rPr>
            </w:pPr>
          </w:p>
        </w:tc>
        <w:tc>
          <w:tcPr>
            <w:tcW w:w="2500" w:type="dxa"/>
            <w:vAlign w:val="bottom"/>
            <w:gridSpan w:val="3"/>
            <w:vMerge w:val="continue"/>
          </w:tcPr>
          <w:p>
            <w:pPr>
              <w:spacing w:after="0"/>
              <w:rPr>
                <w:sz w:val="15"/>
                <w:szCs w:val="15"/>
                <w:color w:val="auto"/>
              </w:rPr>
            </w:pPr>
          </w:p>
        </w:tc>
        <w:tc>
          <w:tcPr>
            <w:tcW w:w="740" w:type="dxa"/>
            <w:vAlign w:val="bottom"/>
            <w:vMerge w:val="continue"/>
          </w:tcPr>
          <w:p>
            <w:pPr>
              <w:spacing w:after="0"/>
              <w:rPr>
                <w:sz w:val="15"/>
                <w:szCs w:val="15"/>
                <w:color w:val="auto"/>
              </w:rPr>
            </w:pPr>
          </w:p>
        </w:tc>
        <w:tc>
          <w:tcPr>
            <w:tcW w:w="7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96"/>
        </w:trPr>
        <w:tc>
          <w:tcPr>
            <w:tcW w:w="940" w:type="dxa"/>
            <w:vAlign w:val="bottom"/>
          </w:tcPr>
          <w:p>
            <w:pPr>
              <w:ind w:left="40"/>
              <w:spacing w:after="0"/>
              <w:rPr>
                <w:sz w:val="20"/>
                <w:szCs w:val="20"/>
                <w:color w:val="auto"/>
              </w:rPr>
            </w:pPr>
            <w:r>
              <w:rPr>
                <w:rFonts w:ascii="Arial" w:cs="Arial" w:eastAsia="Arial" w:hAnsi="Arial"/>
                <w:sz w:val="17"/>
                <w:szCs w:val="17"/>
                <w:color w:val="auto"/>
              </w:rPr>
              <w:t>Block</w:t>
            </w:r>
          </w:p>
        </w:tc>
        <w:tc>
          <w:tcPr>
            <w:tcW w:w="900" w:type="dxa"/>
            <w:vAlign w:val="bottom"/>
          </w:tcPr>
          <w:p>
            <w:pPr>
              <w:jc w:val="center"/>
              <w:spacing w:after="0"/>
              <w:rPr>
                <w:sz w:val="20"/>
                <w:szCs w:val="20"/>
                <w:color w:val="auto"/>
              </w:rPr>
            </w:pPr>
            <w:r>
              <w:rPr>
                <w:rFonts w:ascii="Arial" w:cs="Arial" w:eastAsia="Arial" w:hAnsi="Arial"/>
                <w:sz w:val="17"/>
                <w:szCs w:val="17"/>
                <w:color w:val="auto"/>
              </w:rPr>
              <w:t>horizontal</w:t>
            </w:r>
          </w:p>
        </w:tc>
        <w:tc>
          <w:tcPr>
            <w:tcW w:w="780" w:type="dxa"/>
            <w:vAlign w:val="bottom"/>
          </w:tcPr>
          <w:p>
            <w:pPr>
              <w:jc w:val="center"/>
              <w:spacing w:after="0"/>
              <w:rPr>
                <w:sz w:val="20"/>
                <w:szCs w:val="20"/>
                <w:color w:val="auto"/>
              </w:rPr>
            </w:pPr>
            <w:r>
              <w:rPr>
                <w:rFonts w:ascii="Arial" w:cs="Arial" w:eastAsia="Arial" w:hAnsi="Arial"/>
                <w:sz w:val="17"/>
                <w:szCs w:val="17"/>
                <w:color w:val="auto"/>
                <w:w w:val="98"/>
              </w:rPr>
              <w:t>fractured</w:t>
            </w:r>
          </w:p>
        </w:tc>
        <w:tc>
          <w:tcPr>
            <w:tcW w:w="740" w:type="dxa"/>
            <w:vAlign w:val="bottom"/>
          </w:tcPr>
          <w:p>
            <w:pPr>
              <w:jc w:val="center"/>
              <w:spacing w:after="0"/>
              <w:rPr>
                <w:sz w:val="20"/>
                <w:szCs w:val="20"/>
                <w:color w:val="auto"/>
              </w:rPr>
            </w:pPr>
            <w:r>
              <w:rPr>
                <w:rFonts w:ascii="Arial" w:cs="Arial" w:eastAsia="Arial" w:hAnsi="Arial"/>
                <w:sz w:val="17"/>
                <w:szCs w:val="17"/>
                <w:color w:val="auto"/>
              </w:rPr>
              <w:t>spacing/</w:t>
            </w:r>
          </w:p>
        </w:tc>
        <w:tc>
          <w:tcPr>
            <w:tcW w:w="720" w:type="dxa"/>
            <w:vAlign w:val="bottom"/>
          </w:tcPr>
          <w:p>
            <w:pPr>
              <w:jc w:val="center"/>
              <w:spacing w:after="0"/>
              <w:rPr>
                <w:sz w:val="20"/>
                <w:szCs w:val="20"/>
                <w:color w:val="auto"/>
              </w:rPr>
            </w:pPr>
            <w:r>
              <w:rPr>
                <w:rFonts w:ascii="Arial" w:cs="Arial" w:eastAsia="Arial" w:hAnsi="Arial"/>
                <w:sz w:val="17"/>
                <w:szCs w:val="17"/>
                <w:color w:val="auto"/>
                <w:w w:val="99"/>
              </w:rPr>
              <w:t>ters in a</w:t>
            </w:r>
          </w:p>
        </w:tc>
        <w:tc>
          <w:tcPr>
            <w:tcW w:w="740" w:type="dxa"/>
            <w:vAlign w:val="bottom"/>
          </w:tcPr>
          <w:p>
            <w:pPr>
              <w:jc w:val="center"/>
              <w:spacing w:after="0"/>
              <w:rPr>
                <w:sz w:val="20"/>
                <w:szCs w:val="20"/>
                <w:color w:val="auto"/>
              </w:rPr>
            </w:pPr>
            <w:r>
              <w:rPr>
                <w:rFonts w:ascii="Arial" w:cs="Arial" w:eastAsia="Arial" w:hAnsi="Arial"/>
                <w:sz w:val="17"/>
                <w:szCs w:val="17"/>
                <w:color w:val="auto"/>
              </w:rPr>
              <w:t>of frac-</w:t>
            </w:r>
          </w:p>
        </w:tc>
        <w:tc>
          <w:tcPr>
            <w:tcW w:w="1040" w:type="dxa"/>
            <w:vAlign w:val="bottom"/>
          </w:tcPr>
          <w:p>
            <w:pPr>
              <w:jc w:val="center"/>
              <w:ind w:left="59"/>
              <w:spacing w:after="0"/>
              <w:rPr>
                <w:sz w:val="20"/>
                <w:szCs w:val="20"/>
                <w:color w:val="auto"/>
              </w:rPr>
            </w:pPr>
            <w:r>
              <w:rPr>
                <w:rFonts w:ascii="Arial" w:cs="Arial" w:eastAsia="Arial" w:hAnsi="Arial"/>
                <w:sz w:val="17"/>
                <w:szCs w:val="17"/>
                <w:color w:val="auto"/>
                <w:w w:val="98"/>
              </w:rPr>
              <w:t>density/</w:t>
            </w:r>
          </w:p>
        </w:tc>
        <w:tc>
          <w:tcPr>
            <w:tcW w:w="140" w:type="dxa"/>
            <w:vAlign w:val="bottom"/>
          </w:tcPr>
          <w:p>
            <w:pPr>
              <w:spacing w:after="0"/>
              <w:rPr>
                <w:sz w:val="17"/>
                <w:szCs w:val="17"/>
                <w:color w:val="auto"/>
              </w:rPr>
            </w:pPr>
          </w:p>
        </w:tc>
        <w:tc>
          <w:tcPr>
            <w:tcW w:w="640" w:type="dxa"/>
            <w:vAlign w:val="bottom"/>
          </w:tcPr>
          <w:p>
            <w:pPr>
              <w:jc w:val="center"/>
              <w:spacing w:after="0"/>
              <w:rPr>
                <w:sz w:val="20"/>
                <w:szCs w:val="20"/>
                <w:color w:val="auto"/>
              </w:rPr>
            </w:pPr>
            <w:r>
              <w:rPr>
                <w:rFonts w:ascii="Arial" w:cs="Arial" w:eastAsia="Arial" w:hAnsi="Arial"/>
                <w:sz w:val="17"/>
                <w:szCs w:val="17"/>
                <w:color w:val="auto"/>
                <w:w w:val="97"/>
              </w:rPr>
              <w:t>fracture</w:t>
            </w:r>
          </w:p>
        </w:tc>
        <w:tc>
          <w:tcPr>
            <w:tcW w:w="880" w:type="dxa"/>
            <w:vAlign w:val="bottom"/>
          </w:tcPr>
          <w:p>
            <w:pPr>
              <w:jc w:val="center"/>
              <w:spacing w:after="0"/>
              <w:rPr>
                <w:sz w:val="20"/>
                <w:szCs w:val="20"/>
                <w:color w:val="auto"/>
              </w:rPr>
            </w:pPr>
            <w:r>
              <w:rPr>
                <w:rFonts w:ascii="Arial" w:cs="Arial" w:eastAsia="Arial" w:hAnsi="Arial"/>
                <w:sz w:val="17"/>
                <w:szCs w:val="17"/>
                <w:color w:val="auto"/>
              </w:rPr>
              <w:t>fracture</w:t>
            </w:r>
          </w:p>
        </w:tc>
        <w:tc>
          <w:tcPr>
            <w:tcW w:w="980" w:type="dxa"/>
            <w:vAlign w:val="bottom"/>
          </w:tcPr>
          <w:p>
            <w:pPr>
              <w:jc w:val="center"/>
              <w:spacing w:after="0"/>
              <w:rPr>
                <w:sz w:val="20"/>
                <w:szCs w:val="20"/>
                <w:color w:val="auto"/>
              </w:rPr>
            </w:pPr>
            <w:r>
              <w:rPr>
                <w:rFonts w:ascii="Arial" w:cs="Arial" w:eastAsia="Arial" w:hAnsi="Arial"/>
                <w:sz w:val="17"/>
                <w:szCs w:val="17"/>
                <w:color w:val="auto"/>
                <w:w w:val="99"/>
              </w:rPr>
              <w:t>displace-</w:t>
            </w:r>
          </w:p>
        </w:tc>
        <w:tc>
          <w:tcPr>
            <w:tcW w:w="740" w:type="dxa"/>
            <w:vAlign w:val="bottom"/>
          </w:tcPr>
          <w:p>
            <w:pPr>
              <w:jc w:val="center"/>
              <w:spacing w:after="0"/>
              <w:rPr>
                <w:sz w:val="20"/>
                <w:szCs w:val="20"/>
                <w:color w:val="auto"/>
              </w:rPr>
            </w:pPr>
            <w:r>
              <w:rPr>
                <w:rFonts w:ascii="Arial" w:cs="Arial" w:eastAsia="Arial" w:hAnsi="Arial"/>
                <w:sz w:val="17"/>
                <w:szCs w:val="17"/>
                <w:color w:val="auto"/>
                <w:w w:val="98"/>
              </w:rPr>
              <w:t>intensity/</w:t>
            </w:r>
          </w:p>
        </w:tc>
        <w:tc>
          <w:tcPr>
            <w:tcW w:w="760" w:type="dxa"/>
            <w:vAlign w:val="bottom"/>
          </w:tcPr>
          <w:p>
            <w:pPr>
              <w:jc w:val="center"/>
              <w:spacing w:after="0"/>
              <w:rPr>
                <w:sz w:val="20"/>
                <w:szCs w:val="20"/>
                <w:color w:val="auto"/>
              </w:rPr>
            </w:pPr>
            <w:r>
              <w:rPr>
                <w:rFonts w:ascii="Arial" w:cs="Arial" w:eastAsia="Arial" w:hAnsi="Arial"/>
                <w:sz w:val="17"/>
                <w:szCs w:val="17"/>
                <w:color w:val="auto"/>
                <w:w w:val="98"/>
              </w:rPr>
              <w:t>ing fluid</w:t>
            </w:r>
          </w:p>
        </w:tc>
        <w:tc>
          <w:tcPr>
            <w:tcW w:w="0" w:type="dxa"/>
            <w:vAlign w:val="bottom"/>
          </w:tcPr>
          <w:p>
            <w:pPr>
              <w:spacing w:after="0"/>
              <w:rPr>
                <w:sz w:val="1"/>
                <w:szCs w:val="1"/>
                <w:color w:val="auto"/>
              </w:rPr>
            </w:pPr>
          </w:p>
        </w:tc>
      </w:tr>
      <w:tr>
        <w:trPr>
          <w:trHeight w:val="98"/>
        </w:trPr>
        <w:tc>
          <w:tcPr>
            <w:tcW w:w="940" w:type="dxa"/>
            <w:vAlign w:val="bottom"/>
          </w:tcPr>
          <w:p>
            <w:pPr>
              <w:spacing w:after="0"/>
              <w:rPr>
                <w:sz w:val="8"/>
                <w:szCs w:val="8"/>
                <w:color w:val="auto"/>
              </w:rPr>
            </w:pPr>
          </w:p>
        </w:tc>
        <w:tc>
          <w:tcPr>
            <w:tcW w:w="900" w:type="dxa"/>
            <w:vAlign w:val="bottom"/>
          </w:tcPr>
          <w:p>
            <w:pPr>
              <w:jc w:val="center"/>
              <w:spacing w:after="0" w:line="99" w:lineRule="exact"/>
              <w:rPr>
                <w:sz w:val="20"/>
                <w:szCs w:val="20"/>
                <w:color w:val="auto"/>
              </w:rPr>
            </w:pPr>
            <w:r>
              <w:rPr>
                <w:rFonts w:ascii="Arial" w:cs="Arial" w:eastAsia="Arial" w:hAnsi="Arial"/>
                <w:sz w:val="11"/>
                <w:szCs w:val="11"/>
                <w:color w:val="auto"/>
              </w:rPr>
              <w:t>section/</w:t>
            </w:r>
          </w:p>
        </w:tc>
        <w:tc>
          <w:tcPr>
            <w:tcW w:w="780" w:type="dxa"/>
            <w:vAlign w:val="bottom"/>
          </w:tcPr>
          <w:p>
            <w:pPr>
              <w:jc w:val="center"/>
              <w:spacing w:after="0" w:line="99" w:lineRule="exact"/>
              <w:rPr>
                <w:sz w:val="20"/>
                <w:szCs w:val="20"/>
                <w:color w:val="auto"/>
              </w:rPr>
            </w:pPr>
            <w:r>
              <w:rPr>
                <w:rFonts w:ascii="Arial" w:cs="Arial" w:eastAsia="Arial" w:hAnsi="Arial"/>
                <w:sz w:val="11"/>
                <w:szCs w:val="11"/>
                <w:color w:val="auto"/>
              </w:rPr>
              <w:t>section/</w:t>
            </w:r>
          </w:p>
        </w:tc>
        <w:tc>
          <w:tcPr>
            <w:tcW w:w="740" w:type="dxa"/>
            <w:vAlign w:val="bottom"/>
            <w:vMerge w:val="restart"/>
          </w:tcPr>
          <w:p>
            <w:pPr>
              <w:jc w:val="center"/>
              <w:spacing w:after="0"/>
              <w:rPr>
                <w:sz w:val="20"/>
                <w:szCs w:val="20"/>
                <w:color w:val="auto"/>
              </w:rPr>
            </w:pPr>
            <w:r>
              <w:rPr>
                <w:rFonts w:ascii="Arial" w:cs="Arial" w:eastAsia="Arial" w:hAnsi="Arial"/>
                <w:sz w:val="17"/>
                <w:szCs w:val="17"/>
                <w:color w:val="auto"/>
                <w:w w:val="98"/>
              </w:rPr>
              <w:t>m</w:t>
            </w:r>
          </w:p>
        </w:tc>
        <w:tc>
          <w:tcPr>
            <w:tcW w:w="720" w:type="dxa"/>
            <w:vAlign w:val="bottom"/>
            <w:vMerge w:val="restart"/>
          </w:tcPr>
          <w:p>
            <w:pPr>
              <w:jc w:val="center"/>
              <w:spacing w:after="0"/>
              <w:rPr>
                <w:sz w:val="20"/>
                <w:szCs w:val="20"/>
                <w:color w:val="auto"/>
              </w:rPr>
            </w:pPr>
            <w:r>
              <w:rPr>
                <w:rFonts w:ascii="Arial" w:cs="Arial" w:eastAsia="Arial" w:hAnsi="Arial"/>
                <w:sz w:val="17"/>
                <w:szCs w:val="17"/>
                <w:color w:val="auto"/>
                <w:w w:val="98"/>
              </w:rPr>
              <w:t>single</w:t>
            </w:r>
          </w:p>
        </w:tc>
        <w:tc>
          <w:tcPr>
            <w:tcW w:w="740" w:type="dxa"/>
            <w:vAlign w:val="bottom"/>
            <w:vMerge w:val="restart"/>
          </w:tcPr>
          <w:p>
            <w:pPr>
              <w:jc w:val="center"/>
              <w:spacing w:after="0"/>
              <w:rPr>
                <w:sz w:val="20"/>
                <w:szCs w:val="20"/>
                <w:color w:val="auto"/>
              </w:rPr>
            </w:pPr>
            <w:r>
              <w:rPr>
                <w:rFonts w:ascii="Arial" w:cs="Arial" w:eastAsia="Arial" w:hAnsi="Arial"/>
                <w:sz w:val="17"/>
                <w:szCs w:val="17"/>
                <w:color w:val="auto"/>
              </w:rPr>
              <w:t>tures</w:t>
            </w:r>
          </w:p>
        </w:tc>
        <w:tc>
          <w:tcPr>
            <w:tcW w:w="1180" w:type="dxa"/>
            <w:vAlign w:val="bottom"/>
            <w:gridSpan w:val="2"/>
          </w:tcPr>
          <w:p>
            <w:pPr>
              <w:jc w:val="right"/>
              <w:spacing w:after="0" w:line="99" w:lineRule="exact"/>
              <w:rPr>
                <w:sz w:val="20"/>
                <w:szCs w:val="20"/>
                <w:color w:val="auto"/>
              </w:rPr>
            </w:pPr>
            <w:r>
              <w:rPr>
                <w:rFonts w:ascii="Arial" w:cs="Arial" w:eastAsia="Arial" w:hAnsi="Arial"/>
                <w:sz w:val="11"/>
                <w:szCs w:val="11"/>
                <w:color w:val="auto"/>
              </w:rPr>
              <w:t>−1</w:t>
            </w:r>
          </w:p>
        </w:tc>
        <w:tc>
          <w:tcPr>
            <w:tcW w:w="640" w:type="dxa"/>
            <w:vAlign w:val="bottom"/>
          </w:tcPr>
          <w:p>
            <w:pPr>
              <w:jc w:val="center"/>
              <w:spacing w:after="0" w:line="99" w:lineRule="exact"/>
              <w:rPr>
                <w:sz w:val="20"/>
                <w:szCs w:val="20"/>
                <w:color w:val="auto"/>
              </w:rPr>
            </w:pPr>
            <w:r>
              <w:rPr>
                <w:rFonts w:ascii="Arial" w:cs="Arial" w:eastAsia="Arial" w:hAnsi="Arial"/>
                <w:sz w:val="11"/>
                <w:szCs w:val="11"/>
                <w:color w:val="auto"/>
              </w:rPr>
              <w:t>sand</w:t>
            </w:r>
          </w:p>
        </w:tc>
        <w:tc>
          <w:tcPr>
            <w:tcW w:w="880" w:type="dxa"/>
            <w:vAlign w:val="bottom"/>
          </w:tcPr>
          <w:p>
            <w:pPr>
              <w:jc w:val="center"/>
              <w:spacing w:after="0" w:line="99" w:lineRule="exact"/>
              <w:rPr>
                <w:sz w:val="20"/>
                <w:szCs w:val="20"/>
                <w:color w:val="auto"/>
              </w:rPr>
            </w:pPr>
            <w:r>
              <w:rPr>
                <w:rFonts w:ascii="Arial" w:cs="Arial" w:eastAsia="Arial" w:hAnsi="Arial"/>
                <w:sz w:val="11"/>
                <w:szCs w:val="11"/>
                <w:color w:val="auto"/>
              </w:rPr>
              <w:t>sand</w:t>
            </w:r>
          </w:p>
        </w:tc>
        <w:tc>
          <w:tcPr>
            <w:tcW w:w="980" w:type="dxa"/>
            <w:vAlign w:val="bottom"/>
          </w:tcPr>
          <w:p>
            <w:pPr>
              <w:jc w:val="center"/>
              <w:spacing w:after="0" w:line="99" w:lineRule="exact"/>
              <w:rPr>
                <w:sz w:val="20"/>
                <w:szCs w:val="20"/>
                <w:color w:val="auto"/>
              </w:rPr>
            </w:pPr>
            <w:r>
              <w:rPr>
                <w:rFonts w:ascii="Arial" w:cs="Arial" w:eastAsia="Arial" w:hAnsi="Arial"/>
                <w:sz w:val="11"/>
                <w:szCs w:val="11"/>
                <w:color w:val="auto"/>
              </w:rPr>
              <w:t>ment/</w:t>
            </w:r>
          </w:p>
        </w:tc>
        <w:tc>
          <w:tcPr>
            <w:tcW w:w="740" w:type="dxa"/>
            <w:vAlign w:val="bottom"/>
          </w:tcPr>
          <w:p>
            <w:pPr>
              <w:ind w:left="420"/>
              <w:spacing w:after="0" w:line="99" w:lineRule="exact"/>
              <w:rPr>
                <w:sz w:val="20"/>
                <w:szCs w:val="20"/>
                <w:color w:val="auto"/>
              </w:rPr>
            </w:pPr>
            <w:r>
              <w:rPr>
                <w:rFonts w:ascii="Arial" w:cs="Arial" w:eastAsia="Arial" w:hAnsi="Arial"/>
                <w:sz w:val="11"/>
                <w:szCs w:val="11"/>
                <w:color w:val="auto"/>
              </w:rPr>
              <w:t>−1</w:t>
            </w:r>
          </w:p>
        </w:tc>
        <w:tc>
          <w:tcPr>
            <w:tcW w:w="760" w:type="dxa"/>
            <w:vAlign w:val="bottom"/>
          </w:tcPr>
          <w:p>
            <w:pPr>
              <w:jc w:val="center"/>
              <w:spacing w:after="0" w:line="99" w:lineRule="exact"/>
              <w:rPr>
                <w:sz w:val="20"/>
                <w:szCs w:val="20"/>
                <w:color w:val="auto"/>
              </w:rPr>
            </w:pPr>
            <w:r>
              <w:rPr>
                <w:rFonts w:ascii="Arial" w:cs="Arial" w:eastAsia="Arial" w:hAnsi="Arial"/>
                <w:sz w:val="11"/>
                <w:szCs w:val="11"/>
                <w:color w:val="auto"/>
              </w:rPr>
              <w:t>intensity/</w:t>
            </w:r>
          </w:p>
        </w:tc>
        <w:tc>
          <w:tcPr>
            <w:tcW w:w="0" w:type="dxa"/>
            <w:vAlign w:val="bottom"/>
          </w:tcPr>
          <w:p>
            <w:pPr>
              <w:spacing w:after="0"/>
              <w:rPr>
                <w:sz w:val="1"/>
                <w:szCs w:val="1"/>
                <w:color w:val="auto"/>
              </w:rPr>
            </w:pPr>
          </w:p>
        </w:tc>
      </w:tr>
      <w:tr>
        <w:trPr>
          <w:trHeight w:val="202"/>
        </w:trPr>
        <w:tc>
          <w:tcPr>
            <w:tcW w:w="940" w:type="dxa"/>
            <w:vAlign w:val="bottom"/>
          </w:tcPr>
          <w:p>
            <w:pPr>
              <w:spacing w:after="0"/>
              <w:rPr>
                <w:sz w:val="17"/>
                <w:szCs w:val="17"/>
                <w:color w:val="auto"/>
              </w:rPr>
            </w:pPr>
          </w:p>
        </w:tc>
        <w:tc>
          <w:tcPr>
            <w:tcW w:w="900" w:type="dxa"/>
            <w:vAlign w:val="bottom"/>
          </w:tcPr>
          <w:p>
            <w:pPr>
              <w:jc w:val="center"/>
              <w:spacing w:after="0"/>
              <w:rPr>
                <w:sz w:val="20"/>
                <w:szCs w:val="20"/>
                <w:color w:val="auto"/>
              </w:rPr>
            </w:pPr>
            <w:r>
              <w:rPr>
                <w:rFonts w:ascii="Arial" w:cs="Arial" w:eastAsia="Arial" w:hAnsi="Arial"/>
                <w:sz w:val="17"/>
                <w:szCs w:val="17"/>
                <w:color w:val="auto"/>
                <w:w w:val="98"/>
              </w:rPr>
              <w:t>m</w:t>
            </w:r>
          </w:p>
        </w:tc>
        <w:tc>
          <w:tcPr>
            <w:tcW w:w="780" w:type="dxa"/>
            <w:vAlign w:val="bottom"/>
          </w:tcPr>
          <w:p>
            <w:pPr>
              <w:jc w:val="center"/>
              <w:spacing w:after="0"/>
              <w:rPr>
                <w:sz w:val="20"/>
                <w:szCs w:val="20"/>
                <w:color w:val="auto"/>
              </w:rPr>
            </w:pPr>
            <w:r>
              <w:rPr>
                <w:rFonts w:ascii="Arial" w:cs="Arial" w:eastAsia="Arial" w:hAnsi="Arial"/>
                <w:sz w:val="17"/>
                <w:szCs w:val="17"/>
                <w:color w:val="auto"/>
                <w:w w:val="98"/>
              </w:rPr>
              <w:t>m</w:t>
            </w:r>
          </w:p>
        </w:tc>
        <w:tc>
          <w:tcPr>
            <w:tcW w:w="740" w:type="dxa"/>
            <w:vAlign w:val="bottom"/>
            <w:vMerge w:val="continue"/>
          </w:tcPr>
          <w:p>
            <w:pPr>
              <w:spacing w:after="0"/>
              <w:rPr>
                <w:sz w:val="17"/>
                <w:szCs w:val="17"/>
                <w:color w:val="auto"/>
              </w:rPr>
            </w:pPr>
          </w:p>
        </w:tc>
        <w:tc>
          <w:tcPr>
            <w:tcW w:w="720" w:type="dxa"/>
            <w:vAlign w:val="bottom"/>
            <w:vMerge w:val="continue"/>
          </w:tcPr>
          <w:p>
            <w:pPr>
              <w:spacing w:after="0"/>
              <w:rPr>
                <w:sz w:val="17"/>
                <w:szCs w:val="17"/>
                <w:color w:val="auto"/>
              </w:rPr>
            </w:pPr>
          </w:p>
        </w:tc>
        <w:tc>
          <w:tcPr>
            <w:tcW w:w="740" w:type="dxa"/>
            <w:vAlign w:val="bottom"/>
            <w:vMerge w:val="continue"/>
          </w:tcPr>
          <w:p>
            <w:pPr>
              <w:spacing w:after="0"/>
              <w:rPr>
                <w:sz w:val="17"/>
                <w:szCs w:val="17"/>
                <w:color w:val="auto"/>
              </w:rPr>
            </w:pPr>
          </w:p>
        </w:tc>
        <w:tc>
          <w:tcPr>
            <w:tcW w:w="1040" w:type="dxa"/>
            <w:vAlign w:val="bottom"/>
          </w:tcPr>
          <w:p>
            <w:pPr>
              <w:ind w:left="40"/>
              <w:spacing w:after="0"/>
              <w:rPr>
                <w:sz w:val="20"/>
                <w:szCs w:val="20"/>
                <w:color w:val="auto"/>
              </w:rPr>
            </w:pPr>
            <w:r>
              <w:rPr>
                <w:rFonts w:ascii="Arial" w:cs="Arial" w:eastAsia="Arial" w:hAnsi="Arial"/>
                <w:sz w:val="17"/>
                <w:szCs w:val="17"/>
                <w:color w:val="auto"/>
                <w:w w:val="98"/>
              </w:rPr>
              <w:t>(fractures km</w:t>
            </w:r>
          </w:p>
        </w:tc>
        <w:tc>
          <w:tcPr>
            <w:tcW w:w="140" w:type="dxa"/>
            <w:vAlign w:val="bottom"/>
          </w:tcPr>
          <w:p>
            <w:pPr>
              <w:jc w:val="right"/>
              <w:spacing w:after="0"/>
              <w:rPr>
                <w:sz w:val="20"/>
                <w:szCs w:val="20"/>
                <w:color w:val="auto"/>
              </w:rPr>
            </w:pPr>
            <w:r>
              <w:rPr>
                <w:rFonts w:ascii="Arial" w:cs="Arial" w:eastAsia="Arial" w:hAnsi="Arial"/>
                <w:sz w:val="17"/>
                <w:szCs w:val="17"/>
                <w:color w:val="auto"/>
              </w:rPr>
              <w:t>)</w:t>
            </w:r>
          </w:p>
        </w:tc>
        <w:tc>
          <w:tcPr>
            <w:tcW w:w="640" w:type="dxa"/>
            <w:vAlign w:val="bottom"/>
          </w:tcPr>
          <w:p>
            <w:pPr>
              <w:jc w:val="center"/>
              <w:spacing w:after="0"/>
              <w:rPr>
                <w:sz w:val="20"/>
                <w:szCs w:val="20"/>
                <w:color w:val="auto"/>
              </w:rPr>
            </w:pPr>
            <w:r>
              <w:rPr>
                <w:rFonts w:ascii="Arial" w:cs="Arial" w:eastAsia="Arial" w:hAnsi="Arial"/>
                <w:sz w:val="17"/>
                <w:szCs w:val="17"/>
                <w:color w:val="auto"/>
                <w:w w:val="98"/>
              </w:rPr>
              <w:t>ratio/%</w:t>
            </w:r>
          </w:p>
        </w:tc>
        <w:tc>
          <w:tcPr>
            <w:tcW w:w="880" w:type="dxa"/>
            <w:vAlign w:val="bottom"/>
          </w:tcPr>
          <w:p>
            <w:pPr>
              <w:jc w:val="center"/>
              <w:spacing w:after="0"/>
              <w:rPr>
                <w:sz w:val="20"/>
                <w:szCs w:val="20"/>
                <w:color w:val="auto"/>
              </w:rPr>
            </w:pPr>
            <w:r>
              <w:rPr>
                <w:rFonts w:ascii="Arial" w:cs="Arial" w:eastAsia="Arial" w:hAnsi="Arial"/>
                <w:sz w:val="17"/>
                <w:szCs w:val="17"/>
                <w:color w:val="auto"/>
                <w:w w:val="98"/>
              </w:rPr>
              <w:t>content/t</w:t>
            </w:r>
          </w:p>
        </w:tc>
        <w:tc>
          <w:tcPr>
            <w:tcW w:w="980" w:type="dxa"/>
            <w:vAlign w:val="bottom"/>
          </w:tcPr>
          <w:p>
            <w:pPr>
              <w:jc w:val="center"/>
              <w:spacing w:after="0" w:line="202" w:lineRule="exact"/>
              <w:rPr>
                <w:sz w:val="20"/>
                <w:szCs w:val="20"/>
                <w:color w:val="auto"/>
              </w:rPr>
            </w:pPr>
            <w:r>
              <w:rPr>
                <w:rFonts w:ascii="Arial" w:cs="Arial" w:eastAsia="Arial" w:hAnsi="Arial"/>
                <w:sz w:val="17"/>
                <w:szCs w:val="17"/>
                <w:color w:val="auto"/>
                <w:w w:val="92"/>
              </w:rPr>
              <w:t>(m</w:t>
            </w:r>
            <w:r>
              <w:rPr>
                <w:rFonts w:ascii="Arial" w:cs="Arial" w:eastAsia="Arial" w:hAnsi="Arial"/>
                <w:sz w:val="22"/>
                <w:szCs w:val="22"/>
                <w:color w:val="auto"/>
                <w:w w:val="92"/>
                <w:vertAlign w:val="superscript"/>
              </w:rPr>
              <w:t>3</w:t>
            </w:r>
            <w:r>
              <w:rPr>
                <w:rFonts w:ascii="Arial" w:cs="Arial" w:eastAsia="Arial" w:hAnsi="Arial"/>
                <w:sz w:val="17"/>
                <w:szCs w:val="17"/>
                <w:color w:val="auto"/>
                <w:w w:val="92"/>
              </w:rPr>
              <w:t xml:space="preserve"> min</w:t>
            </w:r>
            <w:r>
              <w:rPr>
                <w:rFonts w:ascii="Arial" w:cs="Arial" w:eastAsia="Arial" w:hAnsi="Arial"/>
                <w:sz w:val="22"/>
                <w:szCs w:val="22"/>
                <w:color w:val="auto"/>
                <w:w w:val="92"/>
                <w:vertAlign w:val="superscript"/>
              </w:rPr>
              <w:t>−1</w:t>
            </w:r>
            <w:r>
              <w:rPr>
                <w:rFonts w:ascii="Arial" w:cs="Arial" w:eastAsia="Arial" w:hAnsi="Arial"/>
                <w:sz w:val="17"/>
                <w:szCs w:val="17"/>
                <w:color w:val="auto"/>
                <w:w w:val="92"/>
              </w:rPr>
              <w:t>)</w:t>
            </w:r>
          </w:p>
        </w:tc>
        <w:tc>
          <w:tcPr>
            <w:tcW w:w="740" w:type="dxa"/>
            <w:vAlign w:val="bottom"/>
          </w:tcPr>
          <w:p>
            <w:pPr>
              <w:jc w:val="center"/>
              <w:spacing w:after="0"/>
              <w:rPr>
                <w:sz w:val="20"/>
                <w:szCs w:val="20"/>
                <w:color w:val="auto"/>
              </w:rPr>
            </w:pPr>
            <w:r>
              <w:rPr>
                <w:rFonts w:ascii="Arial" w:cs="Arial" w:eastAsia="Arial" w:hAnsi="Arial"/>
                <w:sz w:val="17"/>
                <w:szCs w:val="17"/>
                <w:color w:val="auto"/>
              </w:rPr>
              <w:t>(t m  )</w:t>
            </w:r>
          </w:p>
        </w:tc>
        <w:tc>
          <w:tcPr>
            <w:tcW w:w="760" w:type="dxa"/>
            <w:vAlign w:val="bottom"/>
          </w:tcPr>
          <w:p>
            <w:pPr>
              <w:jc w:val="center"/>
              <w:spacing w:after="0" w:line="202" w:lineRule="exact"/>
              <w:rPr>
                <w:sz w:val="20"/>
                <w:szCs w:val="20"/>
                <w:color w:val="auto"/>
              </w:rPr>
            </w:pPr>
            <w:r>
              <w:rPr>
                <w:rFonts w:ascii="Arial" w:cs="Arial" w:eastAsia="Arial" w:hAnsi="Arial"/>
                <w:sz w:val="17"/>
                <w:szCs w:val="17"/>
                <w:color w:val="auto"/>
                <w:w w:val="89"/>
              </w:rPr>
              <w:t>(m</w:t>
            </w:r>
            <w:r>
              <w:rPr>
                <w:rFonts w:ascii="Arial" w:cs="Arial" w:eastAsia="Arial" w:hAnsi="Arial"/>
                <w:sz w:val="22"/>
                <w:szCs w:val="22"/>
                <w:color w:val="auto"/>
                <w:w w:val="89"/>
                <w:vertAlign w:val="superscript"/>
              </w:rPr>
              <w:t>3</w:t>
            </w:r>
            <w:r>
              <w:rPr>
                <w:rFonts w:ascii="Arial" w:cs="Arial" w:eastAsia="Arial" w:hAnsi="Arial"/>
                <w:sz w:val="17"/>
                <w:szCs w:val="17"/>
                <w:color w:val="auto"/>
                <w:w w:val="89"/>
              </w:rPr>
              <w:t xml:space="preserve"> m</w:t>
            </w:r>
            <w:r>
              <w:rPr>
                <w:rFonts w:ascii="Arial" w:cs="Arial" w:eastAsia="Arial" w:hAnsi="Arial"/>
                <w:sz w:val="22"/>
                <w:szCs w:val="22"/>
                <w:color w:val="auto"/>
                <w:w w:val="89"/>
                <w:vertAlign w:val="superscript"/>
              </w:rPr>
              <w:t>−1</w:t>
            </w:r>
            <w:r>
              <w:rPr>
                <w:rFonts w:ascii="Arial" w:cs="Arial" w:eastAsia="Arial" w:hAnsi="Arial"/>
                <w:sz w:val="17"/>
                <w:szCs w:val="17"/>
                <w:color w:val="auto"/>
                <w:w w:val="89"/>
              </w:rPr>
              <w:t>)</w:t>
            </w:r>
          </w:p>
        </w:tc>
        <w:tc>
          <w:tcPr>
            <w:tcW w:w="0" w:type="dxa"/>
            <w:vAlign w:val="bottom"/>
          </w:tcPr>
          <w:p>
            <w:pPr>
              <w:spacing w:after="0"/>
              <w:rPr>
                <w:sz w:val="1"/>
                <w:szCs w:val="1"/>
                <w:color w:val="auto"/>
              </w:rPr>
            </w:pPr>
          </w:p>
        </w:tc>
      </w:tr>
      <w:tr>
        <w:trPr>
          <w:trHeight w:val="131"/>
        </w:trPr>
        <w:tc>
          <w:tcPr>
            <w:tcW w:w="94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780" w:type="dxa"/>
            <w:vAlign w:val="bottom"/>
            <w:tcBorders>
              <w:bottom w:val="single" w:sz="8" w:color="auto"/>
            </w:tcBorders>
          </w:tcPr>
          <w:p>
            <w:pPr>
              <w:spacing w:after="0"/>
              <w:rPr>
                <w:sz w:val="11"/>
                <w:szCs w:val="11"/>
                <w:color w:val="auto"/>
              </w:rPr>
            </w:pPr>
          </w:p>
        </w:tc>
        <w:tc>
          <w:tcPr>
            <w:tcW w:w="740" w:type="dxa"/>
            <w:vAlign w:val="bottom"/>
            <w:tcBorders>
              <w:bottom w:val="single" w:sz="8" w:color="auto"/>
            </w:tcBorders>
          </w:tcPr>
          <w:p>
            <w:pPr>
              <w:spacing w:after="0"/>
              <w:rPr>
                <w:sz w:val="11"/>
                <w:szCs w:val="11"/>
                <w:color w:val="auto"/>
              </w:rPr>
            </w:pPr>
          </w:p>
        </w:tc>
        <w:tc>
          <w:tcPr>
            <w:tcW w:w="720" w:type="dxa"/>
            <w:vAlign w:val="bottom"/>
            <w:tcBorders>
              <w:bottom w:val="single" w:sz="8" w:color="auto"/>
            </w:tcBorders>
          </w:tcPr>
          <w:p>
            <w:pPr>
              <w:jc w:val="center"/>
              <w:spacing w:after="0" w:line="131" w:lineRule="exact"/>
              <w:rPr>
                <w:sz w:val="20"/>
                <w:szCs w:val="20"/>
                <w:color w:val="auto"/>
              </w:rPr>
            </w:pPr>
            <w:r>
              <w:rPr>
                <w:rFonts w:ascii="Arial" w:cs="Arial" w:eastAsia="Arial" w:hAnsi="Arial"/>
                <w:sz w:val="15"/>
                <w:szCs w:val="15"/>
                <w:color w:val="auto"/>
              </w:rPr>
              <w:t>section</w:t>
            </w:r>
          </w:p>
        </w:tc>
        <w:tc>
          <w:tcPr>
            <w:tcW w:w="74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40" w:type="dxa"/>
            <w:vAlign w:val="bottom"/>
            <w:tcBorders>
              <w:bottom w:val="single" w:sz="8" w:color="auto"/>
            </w:tcBorders>
          </w:tcPr>
          <w:p>
            <w:pPr>
              <w:spacing w:after="0"/>
              <w:rPr>
                <w:sz w:val="11"/>
                <w:szCs w:val="11"/>
                <w:color w:val="auto"/>
              </w:rPr>
            </w:pPr>
          </w:p>
        </w:tc>
        <w:tc>
          <w:tcPr>
            <w:tcW w:w="640" w:type="dxa"/>
            <w:vAlign w:val="bottom"/>
            <w:tcBorders>
              <w:bottom w:val="single" w:sz="8" w:color="auto"/>
            </w:tcBorders>
          </w:tcPr>
          <w:p>
            <w:pPr>
              <w:spacing w:after="0"/>
              <w:rPr>
                <w:sz w:val="11"/>
                <w:szCs w:val="11"/>
                <w:color w:val="auto"/>
              </w:rPr>
            </w:pPr>
          </w:p>
        </w:tc>
        <w:tc>
          <w:tcPr>
            <w:tcW w:w="880" w:type="dxa"/>
            <w:vAlign w:val="bottom"/>
            <w:tcBorders>
              <w:bottom w:val="single" w:sz="8" w:color="auto"/>
            </w:tcBorders>
          </w:tcPr>
          <w:p>
            <w:pPr>
              <w:spacing w:after="0"/>
              <w:rPr>
                <w:sz w:val="11"/>
                <w:szCs w:val="11"/>
                <w:color w:val="auto"/>
              </w:rPr>
            </w:pPr>
          </w:p>
        </w:tc>
        <w:tc>
          <w:tcPr>
            <w:tcW w:w="980" w:type="dxa"/>
            <w:vAlign w:val="bottom"/>
            <w:tcBorders>
              <w:bottom w:val="single" w:sz="8" w:color="auto"/>
            </w:tcBorders>
          </w:tcPr>
          <w:p>
            <w:pPr>
              <w:spacing w:after="0"/>
              <w:rPr>
                <w:sz w:val="11"/>
                <w:szCs w:val="11"/>
                <w:color w:val="auto"/>
              </w:rPr>
            </w:pPr>
          </w:p>
        </w:tc>
        <w:tc>
          <w:tcPr>
            <w:tcW w:w="740" w:type="dxa"/>
            <w:vAlign w:val="bottom"/>
            <w:tcBorders>
              <w:bottom w:val="single" w:sz="8" w:color="auto"/>
            </w:tcBorders>
          </w:tcPr>
          <w:p>
            <w:pPr>
              <w:spacing w:after="0"/>
              <w:rPr>
                <w:sz w:val="11"/>
                <w:szCs w:val="11"/>
                <w:color w:val="auto"/>
              </w:rPr>
            </w:pPr>
          </w:p>
        </w:tc>
        <w:tc>
          <w:tcPr>
            <w:tcW w:w="76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66"/>
        </w:trPr>
        <w:tc>
          <w:tcPr>
            <w:tcW w:w="940" w:type="dxa"/>
            <w:vAlign w:val="bottom"/>
          </w:tcPr>
          <w:p>
            <w:pPr>
              <w:ind w:left="40"/>
              <w:spacing w:after="0" w:line="166" w:lineRule="exact"/>
              <w:rPr>
                <w:sz w:val="20"/>
                <w:szCs w:val="20"/>
                <w:color w:val="auto"/>
              </w:rPr>
            </w:pPr>
            <w:r>
              <w:rPr>
                <w:rFonts w:ascii="Arial" w:cs="Arial" w:eastAsia="Arial" w:hAnsi="Arial"/>
                <w:sz w:val="17"/>
                <w:szCs w:val="17"/>
                <w:color w:val="auto"/>
              </w:rPr>
              <w:t>Haynesvile</w:t>
            </w:r>
          </w:p>
        </w:tc>
        <w:tc>
          <w:tcPr>
            <w:tcW w:w="900" w:type="dxa"/>
            <w:vAlign w:val="bottom"/>
          </w:tcPr>
          <w:p>
            <w:pPr>
              <w:jc w:val="center"/>
              <w:spacing w:after="0" w:line="166" w:lineRule="exact"/>
              <w:rPr>
                <w:sz w:val="20"/>
                <w:szCs w:val="20"/>
                <w:color w:val="auto"/>
              </w:rPr>
            </w:pPr>
            <w:r>
              <w:rPr>
                <w:rFonts w:ascii="Arial" w:cs="Arial" w:eastAsia="Arial" w:hAnsi="Arial"/>
                <w:sz w:val="17"/>
                <w:szCs w:val="17"/>
                <w:color w:val="auto"/>
                <w:w w:val="96"/>
              </w:rPr>
              <w:t>2272–3020</w:t>
            </w:r>
          </w:p>
        </w:tc>
        <w:tc>
          <w:tcPr>
            <w:tcW w:w="780" w:type="dxa"/>
            <w:vAlign w:val="bottom"/>
          </w:tcPr>
          <w:p>
            <w:pPr>
              <w:jc w:val="center"/>
              <w:spacing w:after="0" w:line="166" w:lineRule="exact"/>
              <w:rPr>
                <w:sz w:val="20"/>
                <w:szCs w:val="20"/>
                <w:color w:val="auto"/>
              </w:rPr>
            </w:pPr>
            <w:r>
              <w:rPr>
                <w:rFonts w:ascii="Arial" w:cs="Arial" w:eastAsia="Arial" w:hAnsi="Arial"/>
                <w:sz w:val="17"/>
                <w:szCs w:val="17"/>
                <w:color w:val="auto"/>
                <w:w w:val="97"/>
              </w:rPr>
              <w:t>40–50</w:t>
            </w:r>
          </w:p>
        </w:tc>
        <w:tc>
          <w:tcPr>
            <w:tcW w:w="740" w:type="dxa"/>
            <w:vAlign w:val="bottom"/>
          </w:tcPr>
          <w:p>
            <w:pPr>
              <w:jc w:val="center"/>
              <w:spacing w:after="0" w:line="166" w:lineRule="exact"/>
              <w:rPr>
                <w:sz w:val="20"/>
                <w:szCs w:val="20"/>
                <w:color w:val="auto"/>
              </w:rPr>
            </w:pPr>
            <w:r>
              <w:rPr>
                <w:rFonts w:ascii="Arial" w:cs="Arial" w:eastAsia="Arial" w:hAnsi="Arial"/>
                <w:sz w:val="17"/>
                <w:szCs w:val="17"/>
                <w:color w:val="auto"/>
                <w:w w:val="98"/>
              </w:rPr>
              <w:t>5.0–8.0</w:t>
            </w:r>
          </w:p>
        </w:tc>
        <w:tc>
          <w:tcPr>
            <w:tcW w:w="720" w:type="dxa"/>
            <w:vAlign w:val="bottom"/>
          </w:tcPr>
          <w:p>
            <w:pPr>
              <w:jc w:val="center"/>
              <w:spacing w:after="0" w:line="166" w:lineRule="exact"/>
              <w:rPr>
                <w:sz w:val="20"/>
                <w:szCs w:val="20"/>
                <w:color w:val="auto"/>
              </w:rPr>
            </w:pPr>
            <w:r>
              <w:rPr>
                <w:rFonts w:ascii="Arial" w:cs="Arial" w:eastAsia="Arial" w:hAnsi="Arial"/>
                <w:sz w:val="17"/>
                <w:szCs w:val="17"/>
                <w:color w:val="auto"/>
                <w:w w:val="98"/>
              </w:rPr>
              <w:t>6–9</w:t>
            </w:r>
          </w:p>
        </w:tc>
        <w:tc>
          <w:tcPr>
            <w:tcW w:w="740" w:type="dxa"/>
            <w:vAlign w:val="bottom"/>
          </w:tcPr>
          <w:p>
            <w:pPr>
              <w:jc w:val="center"/>
              <w:spacing w:after="0" w:line="166" w:lineRule="exact"/>
              <w:rPr>
                <w:sz w:val="20"/>
                <w:szCs w:val="20"/>
                <w:color w:val="auto"/>
              </w:rPr>
            </w:pPr>
            <w:r>
              <w:rPr>
                <w:rFonts w:ascii="Arial" w:cs="Arial" w:eastAsia="Arial" w:hAnsi="Arial"/>
                <w:sz w:val="17"/>
                <w:szCs w:val="17"/>
                <w:color w:val="auto"/>
                <w:w w:val="99"/>
              </w:rPr>
              <w:t>360–540</w:t>
            </w:r>
          </w:p>
        </w:tc>
        <w:tc>
          <w:tcPr>
            <w:tcW w:w="1040" w:type="dxa"/>
            <w:vAlign w:val="bottom"/>
          </w:tcPr>
          <w:p>
            <w:pPr>
              <w:jc w:val="center"/>
              <w:ind w:left="59"/>
              <w:spacing w:after="0" w:line="166" w:lineRule="exact"/>
              <w:rPr>
                <w:sz w:val="20"/>
                <w:szCs w:val="20"/>
                <w:color w:val="auto"/>
              </w:rPr>
            </w:pPr>
            <w:r>
              <w:rPr>
                <w:rFonts w:ascii="Arial" w:cs="Arial" w:eastAsia="Arial" w:hAnsi="Arial"/>
                <w:sz w:val="17"/>
                <w:szCs w:val="17"/>
                <w:color w:val="auto"/>
                <w:w w:val="99"/>
              </w:rPr>
              <w:t>158–178</w:t>
            </w:r>
          </w:p>
        </w:tc>
        <w:tc>
          <w:tcPr>
            <w:tcW w:w="140" w:type="dxa"/>
            <w:vAlign w:val="bottom"/>
          </w:tcPr>
          <w:p>
            <w:pPr>
              <w:spacing w:after="0"/>
              <w:rPr>
                <w:sz w:val="14"/>
                <w:szCs w:val="14"/>
                <w:color w:val="auto"/>
              </w:rPr>
            </w:pPr>
          </w:p>
        </w:tc>
        <w:tc>
          <w:tcPr>
            <w:tcW w:w="640" w:type="dxa"/>
            <w:vAlign w:val="bottom"/>
          </w:tcPr>
          <w:p>
            <w:pPr>
              <w:jc w:val="center"/>
              <w:spacing w:after="0" w:line="166" w:lineRule="exact"/>
              <w:rPr>
                <w:sz w:val="20"/>
                <w:szCs w:val="20"/>
                <w:color w:val="auto"/>
              </w:rPr>
            </w:pPr>
            <w:r>
              <w:rPr>
                <w:rFonts w:ascii="Arial" w:cs="Arial" w:eastAsia="Arial" w:hAnsi="Arial"/>
                <w:sz w:val="17"/>
                <w:szCs w:val="17"/>
                <w:color w:val="auto"/>
              </w:rPr>
              <w:t>6.7</w:t>
            </w:r>
          </w:p>
        </w:tc>
        <w:tc>
          <w:tcPr>
            <w:tcW w:w="880" w:type="dxa"/>
            <w:vAlign w:val="bottom"/>
          </w:tcPr>
          <w:p>
            <w:pPr>
              <w:jc w:val="right"/>
              <w:ind w:right="1"/>
              <w:spacing w:after="0" w:line="166" w:lineRule="exact"/>
              <w:rPr>
                <w:sz w:val="20"/>
                <w:szCs w:val="20"/>
                <w:color w:val="auto"/>
              </w:rPr>
            </w:pPr>
            <w:r>
              <w:rPr>
                <w:rFonts w:ascii="Arial" w:cs="Arial" w:eastAsia="Arial" w:hAnsi="Arial"/>
                <w:sz w:val="17"/>
                <w:szCs w:val="17"/>
                <w:color w:val="auto"/>
              </w:rPr>
              <w:t>28.4–30.7</w:t>
            </w:r>
          </w:p>
        </w:tc>
        <w:tc>
          <w:tcPr>
            <w:tcW w:w="980" w:type="dxa"/>
            <w:vAlign w:val="bottom"/>
          </w:tcPr>
          <w:p>
            <w:pPr>
              <w:jc w:val="center"/>
              <w:spacing w:after="0" w:line="166" w:lineRule="exact"/>
              <w:rPr>
                <w:sz w:val="20"/>
                <w:szCs w:val="20"/>
                <w:color w:val="auto"/>
              </w:rPr>
            </w:pPr>
            <w:r>
              <w:rPr>
                <w:rFonts w:ascii="Arial" w:cs="Arial" w:eastAsia="Arial" w:hAnsi="Arial"/>
                <w:sz w:val="17"/>
                <w:szCs w:val="17"/>
                <w:color w:val="auto"/>
              </w:rPr>
              <w:t>12.0–14.0</w:t>
            </w:r>
          </w:p>
        </w:tc>
        <w:tc>
          <w:tcPr>
            <w:tcW w:w="740" w:type="dxa"/>
            <w:vAlign w:val="bottom"/>
          </w:tcPr>
          <w:p>
            <w:pPr>
              <w:jc w:val="center"/>
              <w:spacing w:after="0" w:line="166" w:lineRule="exact"/>
              <w:rPr>
                <w:sz w:val="20"/>
                <w:szCs w:val="20"/>
                <w:color w:val="auto"/>
              </w:rPr>
            </w:pPr>
            <w:r>
              <w:rPr>
                <w:rFonts w:ascii="Arial" w:cs="Arial" w:eastAsia="Arial" w:hAnsi="Arial"/>
                <w:sz w:val="17"/>
                <w:szCs w:val="17"/>
                <w:color w:val="auto"/>
              </w:rPr>
              <w:t>4.5–5.5</w:t>
            </w:r>
          </w:p>
        </w:tc>
        <w:tc>
          <w:tcPr>
            <w:tcW w:w="760" w:type="dxa"/>
            <w:vAlign w:val="bottom"/>
          </w:tcPr>
          <w:p>
            <w:pPr>
              <w:jc w:val="center"/>
              <w:spacing w:after="0" w:line="166" w:lineRule="exact"/>
              <w:rPr>
                <w:sz w:val="20"/>
                <w:szCs w:val="20"/>
                <w:color w:val="auto"/>
              </w:rPr>
            </w:pPr>
            <w:r>
              <w:rPr>
                <w:rFonts w:ascii="Arial" w:cs="Arial" w:eastAsia="Arial" w:hAnsi="Arial"/>
                <w:sz w:val="17"/>
                <w:szCs w:val="17"/>
                <w:color w:val="auto"/>
                <w:w w:val="97"/>
              </w:rPr>
              <w:t>35–45</w:t>
            </w:r>
          </w:p>
        </w:tc>
        <w:tc>
          <w:tcPr>
            <w:tcW w:w="0" w:type="dxa"/>
            <w:vAlign w:val="bottom"/>
          </w:tcPr>
          <w:p>
            <w:pPr>
              <w:spacing w:after="0"/>
              <w:rPr>
                <w:sz w:val="1"/>
                <w:szCs w:val="1"/>
                <w:color w:val="auto"/>
              </w:rPr>
            </w:pPr>
          </w:p>
        </w:tc>
      </w:tr>
      <w:tr>
        <w:trPr>
          <w:trHeight w:val="196"/>
        </w:trPr>
        <w:tc>
          <w:tcPr>
            <w:tcW w:w="940" w:type="dxa"/>
            <w:vAlign w:val="bottom"/>
          </w:tcPr>
          <w:p>
            <w:pPr>
              <w:ind w:left="40"/>
              <w:spacing w:after="0"/>
              <w:rPr>
                <w:sz w:val="20"/>
                <w:szCs w:val="20"/>
                <w:color w:val="auto"/>
              </w:rPr>
            </w:pPr>
            <w:r>
              <w:rPr>
                <w:rFonts w:ascii="Arial" w:cs="Arial" w:eastAsia="Arial" w:hAnsi="Arial"/>
                <w:sz w:val="17"/>
                <w:szCs w:val="17"/>
                <w:color w:val="auto"/>
              </w:rPr>
              <w:t>Marcellus</w:t>
            </w:r>
          </w:p>
        </w:tc>
        <w:tc>
          <w:tcPr>
            <w:tcW w:w="900" w:type="dxa"/>
            <w:vAlign w:val="bottom"/>
          </w:tcPr>
          <w:p>
            <w:pPr>
              <w:jc w:val="center"/>
              <w:spacing w:after="0"/>
              <w:rPr>
                <w:sz w:val="20"/>
                <w:szCs w:val="20"/>
                <w:color w:val="auto"/>
              </w:rPr>
            </w:pPr>
            <w:r>
              <w:rPr>
                <w:rFonts w:ascii="Arial" w:cs="Arial" w:eastAsia="Arial" w:hAnsi="Arial"/>
                <w:sz w:val="17"/>
                <w:szCs w:val="17"/>
                <w:color w:val="auto"/>
                <w:w w:val="96"/>
              </w:rPr>
              <w:t>3048–4247</w:t>
            </w:r>
          </w:p>
        </w:tc>
        <w:tc>
          <w:tcPr>
            <w:tcW w:w="780" w:type="dxa"/>
            <w:vAlign w:val="bottom"/>
          </w:tcPr>
          <w:p>
            <w:pPr>
              <w:jc w:val="center"/>
              <w:spacing w:after="0"/>
              <w:rPr>
                <w:sz w:val="20"/>
                <w:szCs w:val="20"/>
                <w:color w:val="auto"/>
              </w:rPr>
            </w:pPr>
            <w:r>
              <w:rPr>
                <w:rFonts w:ascii="Arial" w:cs="Arial" w:eastAsia="Arial" w:hAnsi="Arial"/>
                <w:sz w:val="17"/>
                <w:szCs w:val="17"/>
                <w:color w:val="auto"/>
                <w:w w:val="97"/>
              </w:rPr>
              <w:t>31–60</w:t>
            </w:r>
          </w:p>
        </w:tc>
        <w:tc>
          <w:tcPr>
            <w:tcW w:w="740" w:type="dxa"/>
            <w:vAlign w:val="bottom"/>
          </w:tcPr>
          <w:p>
            <w:pPr>
              <w:jc w:val="center"/>
              <w:spacing w:after="0"/>
              <w:rPr>
                <w:sz w:val="20"/>
                <w:szCs w:val="20"/>
                <w:color w:val="auto"/>
              </w:rPr>
            </w:pPr>
            <w:r>
              <w:rPr>
                <w:rFonts w:ascii="Arial" w:cs="Arial" w:eastAsia="Arial" w:hAnsi="Arial"/>
                <w:sz w:val="17"/>
                <w:szCs w:val="17"/>
                <w:color w:val="auto"/>
                <w:w w:val="98"/>
              </w:rPr>
              <w:t>4.0–6.0</w:t>
            </w:r>
          </w:p>
        </w:tc>
        <w:tc>
          <w:tcPr>
            <w:tcW w:w="720" w:type="dxa"/>
            <w:vAlign w:val="bottom"/>
          </w:tcPr>
          <w:p>
            <w:pPr>
              <w:jc w:val="center"/>
              <w:spacing w:after="0"/>
              <w:rPr>
                <w:sz w:val="20"/>
                <w:szCs w:val="20"/>
                <w:color w:val="auto"/>
              </w:rPr>
            </w:pPr>
            <w:r>
              <w:rPr>
                <w:rFonts w:ascii="Arial" w:cs="Arial" w:eastAsia="Arial" w:hAnsi="Arial"/>
                <w:sz w:val="17"/>
                <w:szCs w:val="17"/>
                <w:color w:val="auto"/>
              </w:rPr>
              <w:t>6–10</w:t>
            </w:r>
          </w:p>
        </w:tc>
        <w:tc>
          <w:tcPr>
            <w:tcW w:w="740" w:type="dxa"/>
            <w:vAlign w:val="bottom"/>
          </w:tcPr>
          <w:p>
            <w:pPr>
              <w:jc w:val="center"/>
              <w:spacing w:after="0"/>
              <w:rPr>
                <w:sz w:val="20"/>
                <w:szCs w:val="20"/>
                <w:color w:val="auto"/>
              </w:rPr>
            </w:pPr>
            <w:r>
              <w:rPr>
                <w:rFonts w:ascii="Arial" w:cs="Arial" w:eastAsia="Arial" w:hAnsi="Arial"/>
                <w:sz w:val="17"/>
                <w:szCs w:val="17"/>
                <w:color w:val="auto"/>
                <w:w w:val="99"/>
              </w:rPr>
              <w:t>600–750</w:t>
            </w:r>
          </w:p>
        </w:tc>
        <w:tc>
          <w:tcPr>
            <w:tcW w:w="1040" w:type="dxa"/>
            <w:vAlign w:val="bottom"/>
          </w:tcPr>
          <w:p>
            <w:pPr>
              <w:jc w:val="center"/>
              <w:ind w:left="59"/>
              <w:spacing w:after="0"/>
              <w:rPr>
                <w:sz w:val="20"/>
                <w:szCs w:val="20"/>
                <w:color w:val="auto"/>
              </w:rPr>
            </w:pPr>
            <w:r>
              <w:rPr>
                <w:rFonts w:ascii="Arial" w:cs="Arial" w:eastAsia="Arial" w:hAnsi="Arial"/>
                <w:sz w:val="17"/>
                <w:szCs w:val="17"/>
                <w:color w:val="auto"/>
                <w:w w:val="99"/>
              </w:rPr>
              <w:t>177–196</w:t>
            </w:r>
          </w:p>
        </w:tc>
        <w:tc>
          <w:tcPr>
            <w:tcW w:w="140" w:type="dxa"/>
            <w:vAlign w:val="bottom"/>
          </w:tcPr>
          <w:p>
            <w:pPr>
              <w:spacing w:after="0"/>
              <w:rPr>
                <w:sz w:val="17"/>
                <w:szCs w:val="17"/>
                <w:color w:val="auto"/>
              </w:rPr>
            </w:pPr>
          </w:p>
        </w:tc>
        <w:tc>
          <w:tcPr>
            <w:tcW w:w="640" w:type="dxa"/>
            <w:vAlign w:val="bottom"/>
          </w:tcPr>
          <w:p>
            <w:pPr>
              <w:jc w:val="center"/>
              <w:spacing w:after="0"/>
              <w:rPr>
                <w:sz w:val="20"/>
                <w:szCs w:val="20"/>
                <w:color w:val="auto"/>
              </w:rPr>
            </w:pPr>
            <w:r>
              <w:rPr>
                <w:rFonts w:ascii="Arial" w:cs="Arial" w:eastAsia="Arial" w:hAnsi="Arial"/>
                <w:sz w:val="17"/>
                <w:szCs w:val="17"/>
                <w:color w:val="auto"/>
              </w:rPr>
              <w:t>6.7</w:t>
            </w:r>
          </w:p>
        </w:tc>
        <w:tc>
          <w:tcPr>
            <w:tcW w:w="880" w:type="dxa"/>
            <w:vAlign w:val="bottom"/>
          </w:tcPr>
          <w:p>
            <w:pPr>
              <w:jc w:val="right"/>
              <w:ind w:right="1"/>
              <w:spacing w:after="0"/>
              <w:rPr>
                <w:sz w:val="20"/>
                <w:szCs w:val="20"/>
                <w:color w:val="auto"/>
              </w:rPr>
            </w:pPr>
            <w:r>
              <w:rPr>
                <w:rFonts w:ascii="Arial" w:cs="Arial" w:eastAsia="Arial" w:hAnsi="Arial"/>
                <w:sz w:val="17"/>
                <w:szCs w:val="17"/>
                <w:color w:val="auto"/>
              </w:rPr>
              <w:t>13.2–19.8</w:t>
            </w:r>
          </w:p>
        </w:tc>
        <w:tc>
          <w:tcPr>
            <w:tcW w:w="980" w:type="dxa"/>
            <w:vAlign w:val="bottom"/>
          </w:tcPr>
          <w:p>
            <w:pPr>
              <w:jc w:val="center"/>
              <w:spacing w:after="0"/>
              <w:rPr>
                <w:sz w:val="20"/>
                <w:szCs w:val="20"/>
                <w:color w:val="auto"/>
              </w:rPr>
            </w:pPr>
            <w:r>
              <w:rPr>
                <w:rFonts w:ascii="Arial" w:cs="Arial" w:eastAsia="Arial" w:hAnsi="Arial"/>
                <w:sz w:val="17"/>
                <w:szCs w:val="17"/>
                <w:color w:val="auto"/>
              </w:rPr>
              <w:t>12.0–14.0</w:t>
            </w:r>
          </w:p>
        </w:tc>
        <w:tc>
          <w:tcPr>
            <w:tcW w:w="740" w:type="dxa"/>
            <w:vAlign w:val="bottom"/>
          </w:tcPr>
          <w:p>
            <w:pPr>
              <w:jc w:val="center"/>
              <w:spacing w:after="0"/>
              <w:rPr>
                <w:sz w:val="20"/>
                <w:szCs w:val="20"/>
                <w:color w:val="auto"/>
              </w:rPr>
            </w:pPr>
            <w:r>
              <w:rPr>
                <w:rFonts w:ascii="Arial" w:cs="Arial" w:eastAsia="Arial" w:hAnsi="Arial"/>
                <w:sz w:val="17"/>
                <w:szCs w:val="17"/>
                <w:color w:val="auto"/>
              </w:rPr>
              <w:t>2.6–3.5</w:t>
            </w:r>
          </w:p>
        </w:tc>
        <w:tc>
          <w:tcPr>
            <w:tcW w:w="760" w:type="dxa"/>
            <w:vAlign w:val="bottom"/>
          </w:tcPr>
          <w:p>
            <w:pPr>
              <w:jc w:val="center"/>
              <w:spacing w:after="0"/>
              <w:rPr>
                <w:sz w:val="20"/>
                <w:szCs w:val="20"/>
                <w:color w:val="auto"/>
              </w:rPr>
            </w:pPr>
            <w:r>
              <w:rPr>
                <w:rFonts w:ascii="Arial" w:cs="Arial" w:eastAsia="Arial" w:hAnsi="Arial"/>
                <w:sz w:val="17"/>
                <w:szCs w:val="17"/>
                <w:color w:val="auto"/>
                <w:w w:val="97"/>
              </w:rPr>
              <w:t>22–25</w:t>
            </w:r>
          </w:p>
        </w:tc>
        <w:tc>
          <w:tcPr>
            <w:tcW w:w="0" w:type="dxa"/>
            <w:vAlign w:val="bottom"/>
          </w:tcPr>
          <w:p>
            <w:pPr>
              <w:spacing w:after="0"/>
              <w:rPr>
                <w:sz w:val="1"/>
                <w:szCs w:val="1"/>
                <w:color w:val="auto"/>
              </w:rPr>
            </w:pPr>
          </w:p>
        </w:tc>
      </w:tr>
      <w:tr>
        <w:trPr>
          <w:trHeight w:val="274"/>
        </w:trPr>
        <w:tc>
          <w:tcPr>
            <w:tcW w:w="940" w:type="dxa"/>
            <w:vAlign w:val="bottom"/>
          </w:tcPr>
          <w:p>
            <w:pPr>
              <w:ind w:left="40"/>
              <w:spacing w:after="0"/>
              <w:rPr>
                <w:sz w:val="20"/>
                <w:szCs w:val="20"/>
                <w:color w:val="auto"/>
              </w:rPr>
            </w:pPr>
            <w:r>
              <w:rPr>
                <w:rFonts w:ascii="Arial" w:cs="Arial" w:eastAsia="Arial" w:hAnsi="Arial"/>
                <w:sz w:val="17"/>
                <w:szCs w:val="17"/>
                <w:color w:val="auto"/>
              </w:rPr>
              <w:t>Changning,</w:t>
            </w:r>
          </w:p>
        </w:tc>
        <w:tc>
          <w:tcPr>
            <w:tcW w:w="900" w:type="dxa"/>
            <w:vAlign w:val="bottom"/>
          </w:tcPr>
          <w:p>
            <w:pPr>
              <w:jc w:val="center"/>
              <w:spacing w:after="0"/>
              <w:rPr>
                <w:sz w:val="20"/>
                <w:szCs w:val="20"/>
                <w:color w:val="auto"/>
              </w:rPr>
            </w:pPr>
            <w:r>
              <w:rPr>
                <w:rFonts w:ascii="Arial" w:cs="Arial" w:eastAsia="Arial" w:hAnsi="Arial"/>
                <w:sz w:val="17"/>
                <w:szCs w:val="17"/>
                <w:color w:val="auto"/>
                <w:w w:val="96"/>
              </w:rPr>
              <w:t>1170–2647</w:t>
            </w:r>
          </w:p>
        </w:tc>
        <w:tc>
          <w:tcPr>
            <w:tcW w:w="780" w:type="dxa"/>
            <w:vAlign w:val="bottom"/>
          </w:tcPr>
          <w:p>
            <w:pPr>
              <w:jc w:val="center"/>
              <w:spacing w:after="0"/>
              <w:rPr>
                <w:sz w:val="20"/>
                <w:szCs w:val="20"/>
                <w:color w:val="auto"/>
              </w:rPr>
            </w:pPr>
            <w:r>
              <w:rPr>
                <w:rFonts w:ascii="Arial" w:cs="Arial" w:eastAsia="Arial" w:hAnsi="Arial"/>
                <w:sz w:val="17"/>
                <w:szCs w:val="17"/>
                <w:color w:val="auto"/>
                <w:w w:val="97"/>
              </w:rPr>
              <w:t>59–91</w:t>
            </w:r>
          </w:p>
        </w:tc>
        <w:tc>
          <w:tcPr>
            <w:tcW w:w="740" w:type="dxa"/>
            <w:vAlign w:val="bottom"/>
          </w:tcPr>
          <w:p>
            <w:pPr>
              <w:jc w:val="center"/>
              <w:spacing w:after="0"/>
              <w:rPr>
                <w:sz w:val="20"/>
                <w:szCs w:val="20"/>
                <w:color w:val="auto"/>
              </w:rPr>
            </w:pPr>
            <w:r>
              <w:rPr>
                <w:rFonts w:ascii="Arial" w:cs="Arial" w:eastAsia="Arial" w:hAnsi="Arial"/>
                <w:sz w:val="17"/>
                <w:szCs w:val="17"/>
                <w:color w:val="auto"/>
                <w:w w:val="96"/>
              </w:rPr>
              <w:t>6.0–11.5</w:t>
            </w:r>
          </w:p>
        </w:tc>
        <w:tc>
          <w:tcPr>
            <w:tcW w:w="720" w:type="dxa"/>
            <w:vAlign w:val="bottom"/>
          </w:tcPr>
          <w:p>
            <w:pPr>
              <w:jc w:val="center"/>
              <w:spacing w:after="0"/>
              <w:rPr>
                <w:sz w:val="20"/>
                <w:szCs w:val="20"/>
                <w:color w:val="auto"/>
              </w:rPr>
            </w:pPr>
            <w:r>
              <w:rPr>
                <w:rFonts w:ascii="Arial" w:cs="Arial" w:eastAsia="Arial" w:hAnsi="Arial"/>
                <w:sz w:val="17"/>
                <w:szCs w:val="17"/>
                <w:color w:val="auto"/>
              </w:rPr>
              <w:t>6–12</w:t>
            </w:r>
          </w:p>
        </w:tc>
        <w:tc>
          <w:tcPr>
            <w:tcW w:w="740" w:type="dxa"/>
            <w:vAlign w:val="bottom"/>
          </w:tcPr>
          <w:p>
            <w:pPr>
              <w:jc w:val="center"/>
              <w:spacing w:after="0"/>
              <w:rPr>
                <w:sz w:val="20"/>
                <w:szCs w:val="20"/>
                <w:color w:val="auto"/>
              </w:rPr>
            </w:pPr>
            <w:r>
              <w:rPr>
                <w:rFonts w:ascii="Arial" w:cs="Arial" w:eastAsia="Arial" w:hAnsi="Arial"/>
                <w:sz w:val="17"/>
                <w:szCs w:val="17"/>
                <w:color w:val="auto"/>
                <w:w w:val="99"/>
              </w:rPr>
              <w:t>120–352</w:t>
            </w:r>
          </w:p>
        </w:tc>
        <w:tc>
          <w:tcPr>
            <w:tcW w:w="1040" w:type="dxa"/>
            <w:vAlign w:val="bottom"/>
          </w:tcPr>
          <w:p>
            <w:pPr>
              <w:jc w:val="center"/>
              <w:ind w:left="59"/>
              <w:spacing w:after="0"/>
              <w:rPr>
                <w:sz w:val="20"/>
                <w:szCs w:val="20"/>
                <w:color w:val="auto"/>
              </w:rPr>
            </w:pPr>
            <w:r>
              <w:rPr>
                <w:rFonts w:ascii="Arial" w:cs="Arial" w:eastAsia="Arial" w:hAnsi="Arial"/>
                <w:sz w:val="17"/>
                <w:szCs w:val="17"/>
                <w:color w:val="auto"/>
                <w:w w:val="99"/>
              </w:rPr>
              <w:t>100–133</w:t>
            </w:r>
          </w:p>
        </w:tc>
        <w:tc>
          <w:tcPr>
            <w:tcW w:w="140" w:type="dxa"/>
            <w:vAlign w:val="bottom"/>
          </w:tcPr>
          <w:p>
            <w:pPr>
              <w:spacing w:after="0"/>
              <w:rPr>
                <w:sz w:val="23"/>
                <w:szCs w:val="23"/>
                <w:color w:val="auto"/>
              </w:rPr>
            </w:pPr>
          </w:p>
        </w:tc>
        <w:tc>
          <w:tcPr>
            <w:tcW w:w="1520" w:type="dxa"/>
            <w:vAlign w:val="bottom"/>
            <w:gridSpan w:val="2"/>
          </w:tcPr>
          <w:p>
            <w:pPr>
              <w:jc w:val="right"/>
              <w:ind w:right="1"/>
              <w:spacing w:after="0"/>
              <w:rPr>
                <w:sz w:val="20"/>
                <w:szCs w:val="20"/>
                <w:color w:val="auto"/>
              </w:rPr>
            </w:pPr>
            <w:r>
              <w:rPr>
                <w:rFonts w:ascii="Arial" w:cs="Arial" w:eastAsia="Arial" w:hAnsi="Arial"/>
                <w:sz w:val="17"/>
                <w:szCs w:val="17"/>
                <w:color w:val="auto"/>
              </w:rPr>
              <w:t>4.9–8.9 18.5–28.6</w:t>
            </w:r>
          </w:p>
        </w:tc>
        <w:tc>
          <w:tcPr>
            <w:tcW w:w="980" w:type="dxa"/>
            <w:vAlign w:val="bottom"/>
          </w:tcPr>
          <w:p>
            <w:pPr>
              <w:jc w:val="center"/>
              <w:spacing w:after="0"/>
              <w:rPr>
                <w:sz w:val="20"/>
                <w:szCs w:val="20"/>
                <w:color w:val="auto"/>
              </w:rPr>
            </w:pPr>
            <w:r>
              <w:rPr>
                <w:rFonts w:ascii="Arial" w:cs="Arial" w:eastAsia="Arial" w:hAnsi="Arial"/>
                <w:sz w:val="17"/>
                <w:szCs w:val="17"/>
                <w:color w:val="auto"/>
              </w:rPr>
              <w:t>15.0–18.0</w:t>
            </w:r>
          </w:p>
        </w:tc>
        <w:tc>
          <w:tcPr>
            <w:tcW w:w="740" w:type="dxa"/>
            <w:vAlign w:val="bottom"/>
          </w:tcPr>
          <w:p>
            <w:pPr>
              <w:jc w:val="center"/>
              <w:spacing w:after="0"/>
              <w:rPr>
                <w:sz w:val="20"/>
                <w:szCs w:val="20"/>
                <w:color w:val="auto"/>
              </w:rPr>
            </w:pPr>
            <w:r>
              <w:rPr>
                <w:rFonts w:ascii="Arial" w:cs="Arial" w:eastAsia="Arial" w:hAnsi="Arial"/>
                <w:sz w:val="17"/>
                <w:szCs w:val="17"/>
                <w:color w:val="auto"/>
              </w:rPr>
              <w:t>1.9–3.8</w:t>
            </w:r>
          </w:p>
        </w:tc>
        <w:tc>
          <w:tcPr>
            <w:tcW w:w="760" w:type="dxa"/>
            <w:vAlign w:val="bottom"/>
          </w:tcPr>
          <w:p>
            <w:pPr>
              <w:jc w:val="center"/>
              <w:spacing w:after="0"/>
              <w:rPr>
                <w:sz w:val="20"/>
                <w:szCs w:val="20"/>
                <w:color w:val="auto"/>
              </w:rPr>
            </w:pPr>
            <w:r>
              <w:rPr>
                <w:rFonts w:ascii="Arial" w:cs="Arial" w:eastAsia="Arial" w:hAnsi="Arial"/>
                <w:sz w:val="17"/>
                <w:szCs w:val="17"/>
                <w:color w:val="auto"/>
                <w:w w:val="97"/>
              </w:rPr>
              <w:t>21–34</w:t>
            </w:r>
          </w:p>
        </w:tc>
        <w:tc>
          <w:tcPr>
            <w:tcW w:w="0" w:type="dxa"/>
            <w:vAlign w:val="bottom"/>
          </w:tcPr>
          <w:p>
            <w:pPr>
              <w:spacing w:after="0"/>
              <w:rPr>
                <w:sz w:val="1"/>
                <w:szCs w:val="1"/>
                <w:color w:val="auto"/>
              </w:rPr>
            </w:pPr>
          </w:p>
        </w:tc>
      </w:tr>
      <w:tr>
        <w:trPr>
          <w:trHeight w:val="118"/>
        </w:trPr>
        <w:tc>
          <w:tcPr>
            <w:tcW w:w="940" w:type="dxa"/>
            <w:vAlign w:val="bottom"/>
          </w:tcPr>
          <w:p>
            <w:pPr>
              <w:ind w:left="40"/>
              <w:spacing w:after="0" w:line="118" w:lineRule="exact"/>
              <w:rPr>
                <w:sz w:val="20"/>
                <w:szCs w:val="20"/>
                <w:color w:val="auto"/>
              </w:rPr>
            </w:pPr>
            <w:r>
              <w:rPr>
                <w:rFonts w:ascii="Arial" w:cs="Arial" w:eastAsia="Arial" w:hAnsi="Arial"/>
                <w:sz w:val="13"/>
                <w:szCs w:val="13"/>
                <w:color w:val="auto"/>
              </w:rPr>
              <w:t>Sichuan</w:t>
            </w:r>
          </w:p>
        </w:tc>
        <w:tc>
          <w:tcPr>
            <w:tcW w:w="900" w:type="dxa"/>
            <w:vAlign w:val="bottom"/>
          </w:tcPr>
          <w:p>
            <w:pPr>
              <w:spacing w:after="0"/>
              <w:rPr>
                <w:sz w:val="10"/>
                <w:szCs w:val="10"/>
                <w:color w:val="auto"/>
              </w:rPr>
            </w:pPr>
          </w:p>
        </w:tc>
        <w:tc>
          <w:tcPr>
            <w:tcW w:w="780" w:type="dxa"/>
            <w:vAlign w:val="bottom"/>
          </w:tcPr>
          <w:p>
            <w:pPr>
              <w:spacing w:after="0"/>
              <w:rPr>
                <w:sz w:val="10"/>
                <w:szCs w:val="10"/>
                <w:color w:val="auto"/>
              </w:rPr>
            </w:pPr>
          </w:p>
        </w:tc>
        <w:tc>
          <w:tcPr>
            <w:tcW w:w="740" w:type="dxa"/>
            <w:vAlign w:val="bottom"/>
          </w:tcPr>
          <w:p>
            <w:pPr>
              <w:spacing w:after="0"/>
              <w:rPr>
                <w:sz w:val="10"/>
                <w:szCs w:val="10"/>
                <w:color w:val="auto"/>
              </w:rPr>
            </w:pPr>
          </w:p>
        </w:tc>
        <w:tc>
          <w:tcPr>
            <w:tcW w:w="720" w:type="dxa"/>
            <w:vAlign w:val="bottom"/>
          </w:tcPr>
          <w:p>
            <w:pPr>
              <w:spacing w:after="0"/>
              <w:rPr>
                <w:sz w:val="10"/>
                <w:szCs w:val="10"/>
                <w:color w:val="auto"/>
              </w:rPr>
            </w:pPr>
          </w:p>
        </w:tc>
        <w:tc>
          <w:tcPr>
            <w:tcW w:w="740" w:type="dxa"/>
            <w:vAlign w:val="bottom"/>
          </w:tcPr>
          <w:p>
            <w:pPr>
              <w:spacing w:after="0"/>
              <w:rPr>
                <w:sz w:val="10"/>
                <w:szCs w:val="10"/>
                <w:color w:val="auto"/>
              </w:rPr>
            </w:pPr>
          </w:p>
        </w:tc>
        <w:tc>
          <w:tcPr>
            <w:tcW w:w="10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880" w:type="dxa"/>
            <w:vAlign w:val="bottom"/>
          </w:tcPr>
          <w:p>
            <w:pPr>
              <w:spacing w:after="0"/>
              <w:rPr>
                <w:sz w:val="10"/>
                <w:szCs w:val="10"/>
                <w:color w:val="auto"/>
              </w:rPr>
            </w:pPr>
          </w:p>
        </w:tc>
        <w:tc>
          <w:tcPr>
            <w:tcW w:w="980" w:type="dxa"/>
            <w:vAlign w:val="bottom"/>
          </w:tcPr>
          <w:p>
            <w:pPr>
              <w:spacing w:after="0"/>
              <w:rPr>
                <w:sz w:val="10"/>
                <w:szCs w:val="10"/>
                <w:color w:val="auto"/>
              </w:rPr>
            </w:pPr>
          </w:p>
        </w:tc>
        <w:tc>
          <w:tcPr>
            <w:tcW w:w="74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94"/>
        </w:trPr>
        <w:tc>
          <w:tcPr>
            <w:tcW w:w="940" w:type="dxa"/>
            <w:vAlign w:val="bottom"/>
          </w:tcPr>
          <w:p>
            <w:pPr>
              <w:ind w:left="40"/>
              <w:spacing w:after="0" w:line="194" w:lineRule="exact"/>
              <w:rPr>
                <w:sz w:val="20"/>
                <w:szCs w:val="20"/>
                <w:color w:val="auto"/>
              </w:rPr>
            </w:pPr>
            <w:r>
              <w:rPr>
                <w:rFonts w:ascii="Arial" w:cs="Arial" w:eastAsia="Arial" w:hAnsi="Arial"/>
                <w:sz w:val="17"/>
                <w:szCs w:val="17"/>
                <w:color w:val="auto"/>
              </w:rPr>
              <w:t>Weiyuan,</w:t>
            </w:r>
          </w:p>
        </w:tc>
        <w:tc>
          <w:tcPr>
            <w:tcW w:w="900" w:type="dxa"/>
            <w:vAlign w:val="bottom"/>
            <w:vMerge w:val="restart"/>
          </w:tcPr>
          <w:p>
            <w:pPr>
              <w:jc w:val="center"/>
              <w:spacing w:after="0"/>
              <w:rPr>
                <w:sz w:val="20"/>
                <w:szCs w:val="20"/>
                <w:color w:val="auto"/>
              </w:rPr>
            </w:pPr>
            <w:r>
              <w:rPr>
                <w:rFonts w:ascii="Arial" w:cs="Arial" w:eastAsia="Arial" w:hAnsi="Arial"/>
                <w:sz w:val="17"/>
                <w:szCs w:val="17"/>
                <w:color w:val="auto"/>
                <w:w w:val="96"/>
              </w:rPr>
              <w:t>1400–2253</w:t>
            </w:r>
          </w:p>
        </w:tc>
        <w:tc>
          <w:tcPr>
            <w:tcW w:w="780" w:type="dxa"/>
            <w:vAlign w:val="bottom"/>
            <w:vMerge w:val="restart"/>
          </w:tcPr>
          <w:p>
            <w:pPr>
              <w:jc w:val="center"/>
              <w:spacing w:after="0"/>
              <w:rPr>
                <w:sz w:val="20"/>
                <w:szCs w:val="20"/>
                <w:color w:val="auto"/>
              </w:rPr>
            </w:pPr>
            <w:r>
              <w:rPr>
                <w:rFonts w:ascii="Arial" w:cs="Arial" w:eastAsia="Arial" w:hAnsi="Arial"/>
                <w:sz w:val="17"/>
                <w:szCs w:val="17"/>
                <w:color w:val="auto"/>
              </w:rPr>
              <w:t>60–130</w:t>
            </w:r>
          </w:p>
        </w:tc>
        <w:tc>
          <w:tcPr>
            <w:tcW w:w="740" w:type="dxa"/>
            <w:vAlign w:val="bottom"/>
            <w:vMerge w:val="restart"/>
          </w:tcPr>
          <w:p>
            <w:pPr>
              <w:jc w:val="center"/>
              <w:spacing w:after="0"/>
              <w:rPr>
                <w:sz w:val="20"/>
                <w:szCs w:val="20"/>
                <w:color w:val="auto"/>
              </w:rPr>
            </w:pPr>
            <w:r>
              <w:rPr>
                <w:rFonts w:ascii="Arial" w:cs="Arial" w:eastAsia="Arial" w:hAnsi="Arial"/>
                <w:sz w:val="17"/>
                <w:szCs w:val="17"/>
                <w:color w:val="auto"/>
                <w:w w:val="96"/>
              </w:rPr>
              <w:t>5.7–16.4</w:t>
            </w:r>
          </w:p>
        </w:tc>
        <w:tc>
          <w:tcPr>
            <w:tcW w:w="720" w:type="dxa"/>
            <w:vAlign w:val="bottom"/>
            <w:vMerge w:val="restart"/>
          </w:tcPr>
          <w:p>
            <w:pPr>
              <w:jc w:val="center"/>
              <w:spacing w:after="0"/>
              <w:rPr>
                <w:sz w:val="20"/>
                <w:szCs w:val="20"/>
                <w:color w:val="auto"/>
              </w:rPr>
            </w:pPr>
            <w:r>
              <w:rPr>
                <w:rFonts w:ascii="Arial" w:cs="Arial" w:eastAsia="Arial" w:hAnsi="Arial"/>
                <w:sz w:val="17"/>
                <w:szCs w:val="17"/>
                <w:color w:val="auto"/>
              </w:rPr>
              <w:t>3–17</w:t>
            </w:r>
          </w:p>
        </w:tc>
        <w:tc>
          <w:tcPr>
            <w:tcW w:w="740" w:type="dxa"/>
            <w:vAlign w:val="bottom"/>
            <w:vMerge w:val="restart"/>
          </w:tcPr>
          <w:p>
            <w:pPr>
              <w:jc w:val="center"/>
              <w:spacing w:after="0"/>
              <w:rPr>
                <w:sz w:val="20"/>
                <w:szCs w:val="20"/>
                <w:color w:val="auto"/>
              </w:rPr>
            </w:pPr>
            <w:r>
              <w:rPr>
                <w:rFonts w:ascii="Arial" w:cs="Arial" w:eastAsia="Arial" w:hAnsi="Arial"/>
                <w:sz w:val="17"/>
                <w:szCs w:val="17"/>
                <w:color w:val="auto"/>
              </w:rPr>
              <w:t>73–282</w:t>
            </w:r>
          </w:p>
        </w:tc>
        <w:tc>
          <w:tcPr>
            <w:tcW w:w="1040" w:type="dxa"/>
            <w:vAlign w:val="bottom"/>
            <w:vMerge w:val="restart"/>
          </w:tcPr>
          <w:p>
            <w:pPr>
              <w:jc w:val="center"/>
              <w:ind w:left="59"/>
              <w:spacing w:after="0"/>
              <w:rPr>
                <w:sz w:val="20"/>
                <w:szCs w:val="20"/>
                <w:color w:val="auto"/>
              </w:rPr>
            </w:pPr>
            <w:r>
              <w:rPr>
                <w:rFonts w:ascii="Arial" w:cs="Arial" w:eastAsia="Arial" w:hAnsi="Arial"/>
                <w:sz w:val="17"/>
                <w:szCs w:val="17"/>
                <w:color w:val="auto"/>
              </w:rPr>
              <w:t>52–125</w:t>
            </w:r>
          </w:p>
        </w:tc>
        <w:tc>
          <w:tcPr>
            <w:tcW w:w="140" w:type="dxa"/>
            <w:vAlign w:val="bottom"/>
          </w:tcPr>
          <w:p>
            <w:pPr>
              <w:spacing w:after="0"/>
              <w:rPr>
                <w:sz w:val="16"/>
                <w:szCs w:val="16"/>
                <w:color w:val="auto"/>
              </w:rPr>
            </w:pPr>
          </w:p>
        </w:tc>
        <w:tc>
          <w:tcPr>
            <w:tcW w:w="1520" w:type="dxa"/>
            <w:vAlign w:val="bottom"/>
            <w:gridSpan w:val="2"/>
            <w:vMerge w:val="restart"/>
          </w:tcPr>
          <w:p>
            <w:pPr>
              <w:jc w:val="right"/>
              <w:ind w:right="1"/>
              <w:spacing w:after="0"/>
              <w:rPr>
                <w:sz w:val="20"/>
                <w:szCs w:val="20"/>
                <w:color w:val="auto"/>
              </w:rPr>
            </w:pPr>
            <w:r>
              <w:rPr>
                <w:rFonts w:ascii="Arial" w:cs="Arial" w:eastAsia="Arial" w:hAnsi="Arial"/>
                <w:sz w:val="17"/>
                <w:szCs w:val="17"/>
                <w:color w:val="auto"/>
              </w:rPr>
              <w:t>5.5–8.0 23.1–40.2</w:t>
            </w:r>
          </w:p>
        </w:tc>
        <w:tc>
          <w:tcPr>
            <w:tcW w:w="980" w:type="dxa"/>
            <w:vAlign w:val="bottom"/>
            <w:vMerge w:val="restart"/>
          </w:tcPr>
          <w:p>
            <w:pPr>
              <w:jc w:val="center"/>
              <w:spacing w:after="0"/>
              <w:rPr>
                <w:sz w:val="20"/>
                <w:szCs w:val="20"/>
                <w:color w:val="auto"/>
              </w:rPr>
            </w:pPr>
            <w:r>
              <w:rPr>
                <w:rFonts w:ascii="Arial" w:cs="Arial" w:eastAsia="Arial" w:hAnsi="Arial"/>
                <w:sz w:val="17"/>
                <w:szCs w:val="17"/>
                <w:color w:val="auto"/>
              </w:rPr>
              <w:t>12.0–15.3</w:t>
            </w:r>
          </w:p>
        </w:tc>
        <w:tc>
          <w:tcPr>
            <w:tcW w:w="740" w:type="dxa"/>
            <w:vAlign w:val="bottom"/>
            <w:vMerge w:val="restart"/>
          </w:tcPr>
          <w:p>
            <w:pPr>
              <w:jc w:val="center"/>
              <w:spacing w:after="0"/>
              <w:rPr>
                <w:sz w:val="20"/>
                <w:szCs w:val="20"/>
                <w:color w:val="auto"/>
              </w:rPr>
            </w:pPr>
            <w:r>
              <w:rPr>
                <w:rFonts w:ascii="Arial" w:cs="Arial" w:eastAsia="Arial" w:hAnsi="Arial"/>
                <w:sz w:val="17"/>
                <w:szCs w:val="17"/>
                <w:color w:val="auto"/>
              </w:rPr>
              <w:t>2.1–2.9</w:t>
            </w:r>
          </w:p>
        </w:tc>
        <w:tc>
          <w:tcPr>
            <w:tcW w:w="760" w:type="dxa"/>
            <w:vAlign w:val="bottom"/>
            <w:vMerge w:val="restart"/>
          </w:tcPr>
          <w:p>
            <w:pPr>
              <w:jc w:val="center"/>
              <w:spacing w:after="0"/>
              <w:rPr>
                <w:sz w:val="20"/>
                <w:szCs w:val="20"/>
                <w:color w:val="auto"/>
              </w:rPr>
            </w:pPr>
            <w:r>
              <w:rPr>
                <w:rFonts w:ascii="Arial" w:cs="Arial" w:eastAsia="Arial" w:hAnsi="Arial"/>
                <w:sz w:val="17"/>
                <w:szCs w:val="17"/>
                <w:color w:val="auto"/>
                <w:w w:val="97"/>
              </w:rPr>
              <w:t>20–31</w:t>
            </w:r>
          </w:p>
        </w:tc>
        <w:tc>
          <w:tcPr>
            <w:tcW w:w="0" w:type="dxa"/>
            <w:vAlign w:val="bottom"/>
          </w:tcPr>
          <w:p>
            <w:pPr>
              <w:spacing w:after="0"/>
              <w:rPr>
                <w:sz w:val="1"/>
                <w:szCs w:val="1"/>
                <w:color w:val="auto"/>
              </w:rPr>
            </w:pPr>
          </w:p>
        </w:tc>
      </w:tr>
      <w:tr>
        <w:trPr>
          <w:trHeight w:val="133"/>
        </w:trPr>
        <w:tc>
          <w:tcPr>
            <w:tcW w:w="940" w:type="dxa"/>
            <w:vAlign w:val="bottom"/>
            <w:vMerge w:val="restart"/>
          </w:tcPr>
          <w:p>
            <w:pPr>
              <w:ind w:left="40"/>
              <w:spacing w:after="0"/>
              <w:rPr>
                <w:sz w:val="20"/>
                <w:szCs w:val="20"/>
                <w:color w:val="auto"/>
              </w:rPr>
            </w:pPr>
            <w:r>
              <w:rPr>
                <w:rFonts w:ascii="Arial" w:cs="Arial" w:eastAsia="Arial" w:hAnsi="Arial"/>
                <w:sz w:val="17"/>
                <w:szCs w:val="17"/>
                <w:color w:val="auto"/>
              </w:rPr>
              <w:t>Sichuan</w:t>
            </w:r>
          </w:p>
        </w:tc>
        <w:tc>
          <w:tcPr>
            <w:tcW w:w="900" w:type="dxa"/>
            <w:vAlign w:val="bottom"/>
            <w:vMerge w:val="continue"/>
          </w:tcPr>
          <w:p>
            <w:pPr>
              <w:spacing w:after="0"/>
              <w:rPr>
                <w:sz w:val="11"/>
                <w:szCs w:val="11"/>
                <w:color w:val="auto"/>
              </w:rPr>
            </w:pPr>
          </w:p>
        </w:tc>
        <w:tc>
          <w:tcPr>
            <w:tcW w:w="78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72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1040" w:type="dxa"/>
            <w:vAlign w:val="bottom"/>
            <w:vMerge w:val="continue"/>
          </w:tcPr>
          <w:p>
            <w:pPr>
              <w:spacing w:after="0"/>
              <w:rPr>
                <w:sz w:val="11"/>
                <w:szCs w:val="11"/>
                <w:color w:val="auto"/>
              </w:rPr>
            </w:pPr>
          </w:p>
        </w:tc>
        <w:tc>
          <w:tcPr>
            <w:tcW w:w="140" w:type="dxa"/>
            <w:vAlign w:val="bottom"/>
          </w:tcPr>
          <w:p>
            <w:pPr>
              <w:spacing w:after="0"/>
              <w:rPr>
                <w:sz w:val="11"/>
                <w:szCs w:val="11"/>
                <w:color w:val="auto"/>
              </w:rPr>
            </w:pPr>
          </w:p>
        </w:tc>
        <w:tc>
          <w:tcPr>
            <w:tcW w:w="1520" w:type="dxa"/>
            <w:vAlign w:val="bottom"/>
            <w:gridSpan w:val="2"/>
            <w:vMerge w:val="continue"/>
          </w:tcPr>
          <w:p>
            <w:pPr>
              <w:spacing w:after="0"/>
              <w:rPr>
                <w:sz w:val="11"/>
                <w:szCs w:val="11"/>
                <w:color w:val="auto"/>
              </w:rPr>
            </w:pPr>
          </w:p>
        </w:tc>
        <w:tc>
          <w:tcPr>
            <w:tcW w:w="98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7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83"/>
        </w:trPr>
        <w:tc>
          <w:tcPr>
            <w:tcW w:w="940" w:type="dxa"/>
            <w:vAlign w:val="bottom"/>
            <w:tcBorders>
              <w:bottom w:val="single" w:sz="8" w:color="auto"/>
            </w:tcBorders>
            <w:vMerge w:val="continue"/>
          </w:tcPr>
          <w:p>
            <w:pPr>
              <w:spacing w:after="0"/>
              <w:rPr>
                <w:sz w:val="7"/>
                <w:szCs w:val="7"/>
                <w:color w:val="auto"/>
              </w:rPr>
            </w:pPr>
          </w:p>
        </w:tc>
        <w:tc>
          <w:tcPr>
            <w:tcW w:w="900" w:type="dxa"/>
            <w:vAlign w:val="bottom"/>
            <w:tcBorders>
              <w:bottom w:val="single" w:sz="8" w:color="auto"/>
            </w:tcBorders>
          </w:tcPr>
          <w:p>
            <w:pPr>
              <w:spacing w:after="0"/>
              <w:rPr>
                <w:sz w:val="7"/>
                <w:szCs w:val="7"/>
                <w:color w:val="auto"/>
              </w:rPr>
            </w:pPr>
          </w:p>
        </w:tc>
        <w:tc>
          <w:tcPr>
            <w:tcW w:w="780" w:type="dxa"/>
            <w:vAlign w:val="bottom"/>
            <w:tcBorders>
              <w:bottom w:val="single" w:sz="8" w:color="auto"/>
            </w:tcBorders>
          </w:tcPr>
          <w:p>
            <w:pPr>
              <w:spacing w:after="0"/>
              <w:rPr>
                <w:sz w:val="7"/>
                <w:szCs w:val="7"/>
                <w:color w:val="auto"/>
              </w:rPr>
            </w:pPr>
          </w:p>
        </w:tc>
        <w:tc>
          <w:tcPr>
            <w:tcW w:w="740" w:type="dxa"/>
            <w:vAlign w:val="bottom"/>
            <w:tcBorders>
              <w:bottom w:val="single" w:sz="8" w:color="auto"/>
            </w:tcBorders>
          </w:tcPr>
          <w:p>
            <w:pPr>
              <w:spacing w:after="0"/>
              <w:rPr>
                <w:sz w:val="7"/>
                <w:szCs w:val="7"/>
                <w:color w:val="auto"/>
              </w:rPr>
            </w:pPr>
          </w:p>
        </w:tc>
        <w:tc>
          <w:tcPr>
            <w:tcW w:w="720" w:type="dxa"/>
            <w:vAlign w:val="bottom"/>
            <w:tcBorders>
              <w:bottom w:val="single" w:sz="8" w:color="auto"/>
            </w:tcBorders>
          </w:tcPr>
          <w:p>
            <w:pPr>
              <w:spacing w:after="0"/>
              <w:rPr>
                <w:sz w:val="7"/>
                <w:szCs w:val="7"/>
                <w:color w:val="auto"/>
              </w:rPr>
            </w:pPr>
          </w:p>
        </w:tc>
        <w:tc>
          <w:tcPr>
            <w:tcW w:w="740" w:type="dxa"/>
            <w:vAlign w:val="bottom"/>
            <w:tcBorders>
              <w:bottom w:val="single" w:sz="8" w:color="auto"/>
            </w:tcBorders>
          </w:tcPr>
          <w:p>
            <w:pPr>
              <w:spacing w:after="0"/>
              <w:rPr>
                <w:sz w:val="7"/>
                <w:szCs w:val="7"/>
                <w:color w:val="auto"/>
              </w:rPr>
            </w:pPr>
          </w:p>
        </w:tc>
        <w:tc>
          <w:tcPr>
            <w:tcW w:w="1040" w:type="dxa"/>
            <w:vAlign w:val="bottom"/>
            <w:tcBorders>
              <w:bottom w:val="single" w:sz="8" w:color="auto"/>
            </w:tcBorders>
          </w:tcPr>
          <w:p>
            <w:pPr>
              <w:spacing w:after="0"/>
              <w:rPr>
                <w:sz w:val="7"/>
                <w:szCs w:val="7"/>
                <w:color w:val="auto"/>
              </w:rPr>
            </w:pPr>
          </w:p>
        </w:tc>
        <w:tc>
          <w:tcPr>
            <w:tcW w:w="140" w:type="dxa"/>
            <w:vAlign w:val="bottom"/>
            <w:tcBorders>
              <w:bottom w:val="single" w:sz="8" w:color="auto"/>
            </w:tcBorders>
          </w:tcPr>
          <w:p>
            <w:pPr>
              <w:spacing w:after="0"/>
              <w:rPr>
                <w:sz w:val="7"/>
                <w:szCs w:val="7"/>
                <w:color w:val="auto"/>
              </w:rPr>
            </w:pPr>
          </w:p>
        </w:tc>
        <w:tc>
          <w:tcPr>
            <w:tcW w:w="640" w:type="dxa"/>
            <w:vAlign w:val="bottom"/>
            <w:tcBorders>
              <w:bottom w:val="single" w:sz="8" w:color="auto"/>
            </w:tcBorders>
          </w:tcPr>
          <w:p>
            <w:pPr>
              <w:spacing w:after="0"/>
              <w:rPr>
                <w:sz w:val="7"/>
                <w:szCs w:val="7"/>
                <w:color w:val="auto"/>
              </w:rPr>
            </w:pPr>
          </w:p>
        </w:tc>
        <w:tc>
          <w:tcPr>
            <w:tcW w:w="880" w:type="dxa"/>
            <w:vAlign w:val="bottom"/>
            <w:tcBorders>
              <w:bottom w:val="single" w:sz="8" w:color="auto"/>
            </w:tcBorders>
          </w:tcPr>
          <w:p>
            <w:pPr>
              <w:spacing w:after="0"/>
              <w:rPr>
                <w:sz w:val="7"/>
                <w:szCs w:val="7"/>
                <w:color w:val="auto"/>
              </w:rPr>
            </w:pPr>
          </w:p>
        </w:tc>
        <w:tc>
          <w:tcPr>
            <w:tcW w:w="980" w:type="dxa"/>
            <w:vAlign w:val="bottom"/>
            <w:tcBorders>
              <w:bottom w:val="single" w:sz="8" w:color="auto"/>
            </w:tcBorders>
          </w:tcPr>
          <w:p>
            <w:pPr>
              <w:spacing w:after="0"/>
              <w:rPr>
                <w:sz w:val="7"/>
                <w:szCs w:val="7"/>
                <w:color w:val="auto"/>
              </w:rPr>
            </w:pPr>
          </w:p>
        </w:tc>
        <w:tc>
          <w:tcPr>
            <w:tcW w:w="74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86"/>
        </w:trPr>
        <w:tc>
          <w:tcPr>
            <w:tcW w:w="94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1780" w:type="dxa"/>
            <w:vAlign w:val="bottom"/>
            <w:gridSpan w:val="2"/>
          </w:tcPr>
          <w:p>
            <w:pPr>
              <w:ind w:left="620"/>
              <w:spacing w:after="0"/>
              <w:rPr>
                <w:sz w:val="20"/>
                <w:szCs w:val="20"/>
                <w:color w:val="auto"/>
              </w:rPr>
            </w:pPr>
            <w:r>
              <w:rPr>
                <w:rFonts w:ascii="Times New Roman" w:cs="Times New Roman" w:eastAsia="Times New Roman" w:hAnsi="Times New Roman"/>
                <w:sz w:val="18"/>
                <w:szCs w:val="18"/>
                <w:color w:val="auto"/>
              </w:rPr>
              <w:t>946</w:t>
            </w:r>
          </w:p>
        </w:tc>
        <w:tc>
          <w:tcPr>
            <w:tcW w:w="1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1900" w:h="16840" w:orient="portrait"/>
          <w:cols w:equalWidth="0" w:num="1">
            <w:col w:w="10020"/>
          </w:cols>
          <w:pgMar w:left="960" w:top="1015" w:right="924" w:bottom="381" w:gutter="0" w:footer="0" w:header="0"/>
          <w:type w:val="continuous"/>
        </w:sectPr>
      </w:pPr>
    </w:p>
    <w:bookmarkStart w:id="3" w:name="page4"/>
    <w:bookmarkEnd w:id="3"/>
    <w:p>
      <w:pPr>
        <w:jc w:val="center"/>
        <w:ind w:right="-139"/>
        <w:spacing w:after="0"/>
        <w:rPr>
          <w:sz w:val="20"/>
          <w:szCs w:val="20"/>
          <w:color w:val="auto"/>
        </w:rPr>
      </w:pPr>
      <w:r>
        <w:rPr>
          <w:rFonts w:ascii="Times New Roman" w:cs="Times New Roman" w:eastAsia="Times New Roman" w:hAnsi="Times New Roman"/>
          <w:sz w:val="16"/>
          <w:szCs w:val="16"/>
          <w:i w:val="1"/>
          <w:iCs w:val="1"/>
          <w:color w:val="auto"/>
        </w:rPr>
        <w:t>LEI Qun et al. / Petroleum Exploration and Development, 2023, 50(4): 944–954</w:t>
      </w:r>
    </w:p>
    <w:p>
      <w:pPr>
        <w:sectPr>
          <w:pgSz w:w="11900" w:h="16840" w:orient="portrait"/>
          <w:cols w:equalWidth="0" w:num="1">
            <w:col w:w="10040"/>
          </w:cols>
          <w:pgMar w:left="960" w:top="1015" w:right="904" w:bottom="411" w:gutter="0" w:footer="0" w:header="0"/>
        </w:sectPr>
      </w:pPr>
    </w:p>
    <w:p>
      <w:pPr>
        <w:spacing w:after="0" w:line="30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gas horizontal wells.</w:t>
      </w:r>
    </w:p>
    <w:p>
      <w:pPr>
        <w:spacing w:after="0" w:line="161" w:lineRule="exact"/>
        <w:rPr>
          <w:sz w:val="20"/>
          <w:szCs w:val="20"/>
          <w:color w:val="auto"/>
        </w:rPr>
      </w:pPr>
    </w:p>
    <w:p>
      <w:pPr>
        <w:spacing w:after="0"/>
        <w:tabs>
          <w:tab w:leader="none" w:pos="460" w:val="left"/>
        </w:tabs>
        <w:rPr>
          <w:sz w:val="20"/>
          <w:szCs w:val="20"/>
          <w:color w:val="auto"/>
        </w:rPr>
      </w:pPr>
      <w:r>
        <w:rPr>
          <w:rFonts w:ascii="Times New Roman" w:cs="Times New Roman" w:eastAsia="Times New Roman" w:hAnsi="Times New Roman"/>
          <w:sz w:val="19"/>
          <w:szCs w:val="19"/>
          <w:b w:val="1"/>
          <w:bCs w:val="1"/>
          <w:color w:val="auto"/>
        </w:rPr>
        <w:t>1.4.</w:t>
        <w:tab/>
        <w:t>Gap in fracturing equipment and materials</w:t>
      </w:r>
    </w:p>
    <w:p>
      <w:pPr>
        <w:spacing w:after="0" w:line="181"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9"/>
          <w:szCs w:val="19"/>
          <w:color w:val="auto"/>
        </w:rPr>
        <w:t>1.4.1. Operation and maintenance of fracturing truck unit</w:t>
      </w:r>
    </w:p>
    <w:p>
      <w:pPr>
        <w:spacing w:after="0" w:line="200" w:lineRule="exact"/>
        <w:rPr>
          <w:sz w:val="20"/>
          <w:szCs w:val="20"/>
          <w:color w:val="auto"/>
        </w:rPr>
      </w:pPr>
    </w:p>
    <w:p>
      <w:pPr>
        <w:spacing w:after="0" w:line="210" w:lineRule="exact"/>
        <w:rPr>
          <w:sz w:val="20"/>
          <w:szCs w:val="20"/>
          <w:color w:val="auto"/>
        </w:rPr>
      </w:pPr>
    </w:p>
    <w:p>
      <w:pPr>
        <w:jc w:val="both"/>
        <w:ind w:firstLine="193"/>
        <w:spacing w:after="0" w:line="283" w:lineRule="auto"/>
        <w:rPr>
          <w:sz w:val="20"/>
          <w:szCs w:val="20"/>
          <w:color w:val="auto"/>
        </w:rPr>
      </w:pPr>
      <w:r>
        <w:rPr>
          <w:rFonts w:ascii="Times New Roman" w:cs="Times New Roman" w:eastAsia="Times New Roman" w:hAnsi="Times New Roman"/>
          <w:sz w:val="19"/>
          <w:szCs w:val="19"/>
          <w:color w:val="auto"/>
        </w:rPr>
        <w:t>China largely keeps pace with the United States in the development and application of fracturing trucks. Diesel fracturing trucks are gradually phased out, electric-driven fracturing trucks become the mainstream, and gas frac-turing trucks become substitutes. In the United States, diesel fracturing trucks are mainly Type 2500 and elec-tric-driven fracturing trucks are mainly Type 7000. The core components of China’s diesel fracturing truck units, such as engine, gearbox and chassis still rely on imports, but the degree of localization of Type 7000 electric-driven fracturing trucks is relatively high.</w:t>
      </w:r>
    </w:p>
    <w:p>
      <w:pPr>
        <w:spacing w:after="0" w:line="26" w:lineRule="exact"/>
        <w:rPr>
          <w:sz w:val="20"/>
          <w:szCs w:val="20"/>
          <w:color w:val="auto"/>
        </w:rPr>
      </w:pPr>
    </w:p>
    <w:p>
      <w:pPr>
        <w:jc w:val="both"/>
        <w:ind w:firstLine="193"/>
        <w:spacing w:after="0" w:line="278" w:lineRule="auto"/>
        <w:rPr>
          <w:sz w:val="20"/>
          <w:szCs w:val="20"/>
          <w:color w:val="auto"/>
        </w:rPr>
      </w:pPr>
      <w:r>
        <w:rPr>
          <w:rFonts w:ascii="Times New Roman" w:cs="Times New Roman" w:eastAsia="Times New Roman" w:hAnsi="Times New Roman"/>
          <w:sz w:val="19"/>
          <w:szCs w:val="19"/>
          <w:color w:val="auto"/>
        </w:rPr>
        <w:t>There is a big gap between China and the United States in metering, diverting and equipment control of fractur-ing blender trucks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[13]</w:t>
      </w:r>
      <w:r>
        <w:rPr>
          <w:rFonts w:ascii="Times New Roman" w:cs="Times New Roman" w:eastAsia="Times New Roman" w:hAnsi="Times New Roman"/>
          <w:sz w:val="19"/>
          <w:szCs w:val="19"/>
          <w:color w:val="auto"/>
        </w:rPr>
        <w:t>. The United States has realized ac-curate metering and intelligent diversion, which can co-ordinately control multiple equipments for testing, sand mixing, blending and other operations; China prelimi-narily has the control capacity of constant pressure and constant displacement, but it is still dominated by man-ual control, and the operation of each device is relatively independent.</w:t>
      </w:r>
    </w:p>
    <w:p>
      <w:pPr>
        <w:spacing w:after="0" w:line="282" w:lineRule="exact"/>
        <w:rPr>
          <w:sz w:val="20"/>
          <w:szCs w:val="20"/>
          <w:color w:val="auto"/>
        </w:rPr>
      </w:pPr>
    </w:p>
    <w:p>
      <w:pPr>
        <w:jc w:val="both"/>
        <w:ind w:firstLine="193"/>
        <w:spacing w:after="0" w:line="281" w:lineRule="auto"/>
        <w:rPr>
          <w:sz w:val="20"/>
          <w:szCs w:val="20"/>
          <w:color w:val="auto"/>
        </w:rPr>
      </w:pPr>
      <w:r>
        <w:rPr>
          <w:rFonts w:ascii="Times New Roman" w:cs="Times New Roman" w:eastAsia="Times New Roman" w:hAnsi="Times New Roman"/>
          <w:sz w:val="19"/>
          <w:szCs w:val="19"/>
          <w:color w:val="auto"/>
        </w:rPr>
        <w:t>In addition, the United States has realized the dual well synchronous zipper-fracturing, with rapid development of information and intelligent technology, closed-loop fracturing control and one-touch operation capability, and can control cooperative operation of 60 pump trucks. In China, however, the single well zipper-fracturing is mainly adopted, and the maintenance of truck units is mainly based on empirical data, so the automatic opera-tion capability needs to be strengthened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[14–15]</w:t>
      </w:r>
      <w:r>
        <w:rPr>
          <w:rFonts w:ascii="Times New Roman" w:cs="Times New Roman" w:eastAsia="Times New Roman" w:hAnsi="Times New Roman"/>
          <w:sz w:val="19"/>
          <w:szCs w:val="19"/>
          <w:color w:val="auto"/>
        </w:rPr>
        <w:t>.</w:t>
      </w:r>
    </w:p>
    <w:p>
      <w:pPr>
        <w:spacing w:after="0" w:line="118"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9"/>
          <w:szCs w:val="19"/>
          <w:color w:val="auto"/>
        </w:rPr>
        <w:t>1.4.2. Application and operational efficiency of packing tools</w:t>
      </w:r>
    </w:p>
    <w:p>
      <w:pPr>
        <w:spacing w:after="0" w:line="200" w:lineRule="exact"/>
        <w:rPr>
          <w:sz w:val="20"/>
          <w:szCs w:val="20"/>
          <w:color w:val="auto"/>
        </w:rPr>
      </w:pPr>
    </w:p>
    <w:p>
      <w:pPr>
        <w:spacing w:after="0" w:line="211" w:lineRule="exact"/>
        <w:rPr>
          <w:sz w:val="20"/>
          <w:szCs w:val="20"/>
          <w:color w:val="auto"/>
        </w:rPr>
      </w:pPr>
    </w:p>
    <w:p>
      <w:pPr>
        <w:jc w:val="both"/>
        <w:ind w:firstLine="193"/>
        <w:spacing w:after="0" w:line="279" w:lineRule="auto"/>
        <w:rPr>
          <w:sz w:val="20"/>
          <w:szCs w:val="20"/>
          <w:color w:val="auto"/>
        </w:rPr>
      </w:pPr>
      <w:r>
        <w:rPr>
          <w:rFonts w:ascii="Times New Roman" w:cs="Times New Roman" w:eastAsia="Times New Roman" w:hAnsi="Times New Roman"/>
          <w:sz w:val="19"/>
          <w:szCs w:val="19"/>
          <w:color w:val="auto"/>
        </w:rPr>
        <w:t>In addition to the environment, feed flow, sand han-dling, casing deformation, casing damage, to name a few, the selection of packing tools has a great impact on frac-turing efficiency</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[16]</w:t>
      </w:r>
      <w:r>
        <w:rPr>
          <w:rFonts w:ascii="Times New Roman" w:cs="Times New Roman" w:eastAsia="Times New Roman" w:hAnsi="Times New Roman"/>
          <w:sz w:val="19"/>
          <w:szCs w:val="19"/>
          <w:color w:val="auto"/>
        </w:rPr>
        <w:t>. In the United States, staged fractur-ing is dominated by fast-drilling bridge-plug tools, and staged fracturing in shale oil and gas platforms can reach 6–8 stages/d; China mainly uses dissolvable staged frac-turing tools, and the staged fracturing of shale oil and gas platforms can reach 1–2 stages/d. Similarities and differ-ences of packing tools in China and the United States include: (1) There is a big difference in pumping and drilling speed in fast-drilling bridge plug between China and the United States. The U.S. bridge plug can be pumped at the speed of 250 m/min, and the drilling speed has been increased from 30 min/piece in 2012 to 4 min/piece in 2019; the pump speed of the China’s bridge</w:t>
      </w:r>
    </w:p>
    <w:p>
      <w:pPr>
        <w:spacing w:after="0" w:line="20" w:lineRule="exact"/>
        <w:rPr>
          <w:sz w:val="20"/>
          <w:szCs w:val="20"/>
          <w:color w:val="auto"/>
        </w:rPr>
      </w:pPr>
      <w:r>
        <w:rPr>
          <w:sz w:val="20"/>
          <w:szCs w:val="20"/>
          <w:color w:val="auto"/>
        </w:rPr>
        <w:br w:type="column"/>
      </w:r>
    </w:p>
    <w:p>
      <w:pPr>
        <w:spacing w:after="0" w:line="306" w:lineRule="exact"/>
        <w:rPr>
          <w:sz w:val="20"/>
          <w:szCs w:val="20"/>
          <w:color w:val="auto"/>
        </w:rPr>
      </w:pPr>
    </w:p>
    <w:p>
      <w:pPr>
        <w:jc w:val="both"/>
        <w:ind w:right="60"/>
        <w:spacing w:after="0" w:line="281" w:lineRule="auto"/>
        <w:rPr>
          <w:sz w:val="20"/>
          <w:szCs w:val="20"/>
          <w:color w:val="auto"/>
        </w:rPr>
      </w:pPr>
      <w:r>
        <w:rPr>
          <w:rFonts w:ascii="Times New Roman" w:cs="Times New Roman" w:eastAsia="Times New Roman" w:hAnsi="Times New Roman"/>
          <w:sz w:val="19"/>
          <w:szCs w:val="19"/>
          <w:color w:val="auto"/>
        </w:rPr>
        <w:t>plug can reach 80 m/min, and the drilling speed can be 15–30 min/piece. (2) The bearing capacity and applicable temperature of the dissolvable bridge plug/ball seat is not much different in China and the United States. The dis-solvable ball seat of Infinity in the United States can bear the pressure of 70 MPa and has the temperature resis-tance of 24–177 C; the dissolvable metal bridge plug in China can bear the pressure of 80 MPa and has the tem-perature resistance of 20–180 C, while the rubber sleeve bridge plug can bear the pressure of 70 MPa and has the temperature resistance of 40–150 C. (3) The delay mechanism of toe sliding sleeve is different. The liquid throttling mechanism is adopted in the United States. The highest casing pressure is 140 MPa, the highest tem-perature is 180 C, the rupture pressure of the rupture disk is 85–105 MPa, and the delay opening time of the sliding sleeve is 35–60 min. The dissolvable delay mechanism is adopted in China. The highest casing pressure is 140 MPa, the highest temperature is 150 C, the rupture pressure of the rupture disk is 85–105 MPa, and the delay opening time of the sliding sleeve is 15–60 min.</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ind w:right="60"/>
        <w:spacing w:after="0" w:line="250" w:lineRule="auto"/>
        <w:rPr>
          <w:sz w:val="20"/>
          <w:szCs w:val="20"/>
          <w:color w:val="auto"/>
        </w:rPr>
      </w:pPr>
      <w:r>
        <w:rPr>
          <w:rFonts w:ascii="Times New Roman" w:cs="Times New Roman" w:eastAsia="Times New Roman" w:hAnsi="Times New Roman"/>
          <w:sz w:val="19"/>
          <w:szCs w:val="19"/>
          <w:color w:val="auto"/>
        </w:rPr>
        <w:t>1.4.3. Targeted design and process control of fracturing fluid</w:t>
      </w:r>
    </w:p>
    <w:p>
      <w:pPr>
        <w:spacing w:after="0" w:line="200" w:lineRule="exact"/>
        <w:rPr>
          <w:sz w:val="20"/>
          <w:szCs w:val="20"/>
          <w:color w:val="auto"/>
        </w:rPr>
      </w:pPr>
    </w:p>
    <w:p>
      <w:pPr>
        <w:spacing w:after="0" w:line="205" w:lineRule="exact"/>
        <w:rPr>
          <w:sz w:val="20"/>
          <w:szCs w:val="20"/>
          <w:color w:val="auto"/>
        </w:rPr>
      </w:pPr>
    </w:p>
    <w:p>
      <w:pPr>
        <w:jc w:val="both"/>
        <w:ind w:right="60" w:firstLine="193"/>
        <w:spacing w:after="0" w:line="275" w:lineRule="auto"/>
        <w:rPr>
          <w:sz w:val="20"/>
          <w:szCs w:val="20"/>
          <w:color w:val="auto"/>
        </w:rPr>
      </w:pPr>
      <w:r>
        <w:rPr>
          <w:rFonts w:ascii="Times New Roman" w:cs="Times New Roman" w:eastAsia="Times New Roman" w:hAnsi="Times New Roman"/>
          <w:sz w:val="19"/>
          <w:szCs w:val="19"/>
          <w:color w:val="auto"/>
        </w:rPr>
        <w:t>Low viscosity slickwater has been widely used at home and abroad. Its main effect is to reduce drag and generate fracture network. The drag reduction performance of slickwater in China and the United States is not much different, with the drag reduction rate reaching 70%, but there are significant differences in terms of application degree, targeted design and process quality control</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[17–18]</w:t>
      </w:r>
      <w:r>
        <w:rPr>
          <w:rFonts w:ascii="Times New Roman" w:cs="Times New Roman" w:eastAsia="Times New Roman" w:hAnsi="Times New Roman"/>
          <w:sz w:val="19"/>
          <w:szCs w:val="19"/>
          <w:color w:val="auto"/>
        </w:rPr>
        <w:t>.</w:t>
      </w:r>
    </w:p>
    <w:p>
      <w:pPr>
        <w:spacing w:after="0" w:line="2" w:lineRule="exact"/>
        <w:rPr>
          <w:sz w:val="20"/>
          <w:szCs w:val="20"/>
          <w:color w:val="auto"/>
        </w:rPr>
      </w:pPr>
    </w:p>
    <w:p>
      <w:pPr>
        <w:jc w:val="both"/>
        <w:ind w:right="60"/>
        <w:spacing w:after="0" w:line="276" w:lineRule="auto"/>
        <w:tabs>
          <w:tab w:leader="none" w:pos="287"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In application degree: the slickwater applications in U.S. shale oil and gas account for more than 90%, whereas the application ratio of slickwater in south Si-chuan shale gas is more than 95%, that in Changqing shale oil is nearly 100%, and that in Xinjiang Jimsar shale oil is only 52%. (2) In targeted design: in the United</w:t>
      </w:r>
    </w:p>
    <w:p>
      <w:pPr>
        <w:spacing w:after="0" w:line="28" w:lineRule="exact"/>
        <w:rPr>
          <w:rFonts w:ascii="Times New Roman" w:cs="Times New Roman" w:eastAsia="Times New Roman" w:hAnsi="Times New Roman"/>
          <w:sz w:val="19"/>
          <w:szCs w:val="19"/>
          <w:color w:val="auto"/>
        </w:rPr>
      </w:pPr>
    </w:p>
    <w:p>
      <w:pPr>
        <w:jc w:val="both"/>
        <w:ind w:right="60"/>
        <w:spacing w:after="0" w:line="27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States, it is prepared with clean water, and the viscosity of slickwater is less than 9 mPa s. The formula system suit-able for different blocks and different degrees of miner-</w:t>
      </w:r>
    </w:p>
    <w:p>
      <w:pPr>
        <w:spacing w:after="0" w:line="30" w:lineRule="exact"/>
        <w:rPr>
          <w:rFonts w:ascii="Times New Roman" w:cs="Times New Roman" w:eastAsia="Times New Roman" w:hAnsi="Times New Roman"/>
          <w:sz w:val="19"/>
          <w:szCs w:val="19"/>
          <w:color w:val="auto"/>
        </w:rPr>
      </w:pPr>
    </w:p>
    <w:p>
      <w:pPr>
        <w:jc w:val="both"/>
        <w:spacing w:after="0" w:line="27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alization has been formed. The main component of China’s high viscosity slickwater (30–50 mPa s) is resis-tance reducing agent, and the application of functional and targeted formula is less. (3) In process quality control: liquid additive operation in the United States uses te-lemetry systems that provide construction locations via satellite links to monitor addition rates and concentra-tions at any time and place for real-time automated tracking, adjustment, and pre-warning. China still uses traditional metering pumps and other mechanized me-tering methods.</w:t>
      </w:r>
    </w:p>
    <w:p>
      <w:pPr>
        <w:spacing w:after="0" w:line="377" w:lineRule="exact"/>
        <w:rPr>
          <w:sz w:val="20"/>
          <w:szCs w:val="20"/>
          <w:color w:val="auto"/>
        </w:rPr>
      </w:pPr>
    </w:p>
    <w:p>
      <w:pPr>
        <w:spacing w:after="0"/>
        <w:tabs>
          <w:tab w:leader="none" w:pos="580" w:val="left"/>
        </w:tabs>
        <w:rPr>
          <w:sz w:val="20"/>
          <w:szCs w:val="20"/>
          <w:color w:val="auto"/>
        </w:rPr>
      </w:pPr>
      <w:r>
        <w:rPr>
          <w:rFonts w:ascii="Times New Roman" w:cs="Times New Roman" w:eastAsia="Times New Roman" w:hAnsi="Times New Roman"/>
          <w:sz w:val="19"/>
          <w:szCs w:val="19"/>
          <w:color w:val="auto"/>
        </w:rPr>
        <w:t>1.4.4.</w:t>
        <w:tab/>
        <w:t>Application level of quartz sand proppants</w:t>
      </w:r>
    </w:p>
    <w:p>
      <w:pPr>
        <w:spacing w:after="0" w:line="16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The United States adheres to the concept of “localiza-</w:t>
      </w:r>
    </w:p>
    <w:p>
      <w:pPr>
        <w:spacing w:after="0" w:line="118" w:lineRule="exact"/>
        <w:rPr>
          <w:sz w:val="20"/>
          <w:szCs w:val="20"/>
          <w:color w:val="auto"/>
        </w:rPr>
      </w:pPr>
    </w:p>
    <w:p>
      <w:pPr>
        <w:sectPr>
          <w:pgSz w:w="11900" w:h="16840" w:orient="portrait"/>
          <w:cols w:equalWidth="0" w:num="2">
            <w:col w:w="4760" w:space="460"/>
            <w:col w:w="4820"/>
          </w:cols>
          <w:pgMar w:left="960" w:top="1015" w:right="904" w:bottom="411" w:gutter="0" w:footer="0" w:header="0"/>
          <w:type w:val="continuous"/>
        </w:sectPr>
      </w:pPr>
    </w:p>
    <w:p>
      <w:pPr>
        <w:jc w:val="center"/>
        <w:ind w:right="40"/>
        <w:spacing w:after="0"/>
        <w:rPr>
          <w:sz w:val="20"/>
          <w:szCs w:val="20"/>
          <w:color w:val="auto"/>
        </w:rPr>
      </w:pPr>
      <w:r>
        <w:rPr>
          <w:rFonts w:ascii="Times New Roman" w:cs="Times New Roman" w:eastAsia="Times New Roman" w:hAnsi="Times New Roman"/>
          <w:sz w:val="18"/>
          <w:szCs w:val="18"/>
          <w:color w:val="auto"/>
        </w:rPr>
        <w:t>947</w:t>
      </w:r>
    </w:p>
    <w:p>
      <w:pPr>
        <w:sectPr>
          <w:pgSz w:w="11900" w:h="16840" w:orient="portrait"/>
          <w:cols w:equalWidth="0" w:num="1">
            <w:col w:w="10040"/>
          </w:cols>
          <w:pgMar w:left="960" w:top="1015" w:right="904" w:bottom="411" w:gutter="0" w:footer="0" w:header="0"/>
          <w:type w:val="continuous"/>
        </w:sectPr>
      </w:pPr>
    </w:p>
    <w:bookmarkStart w:id="4" w:name="page5"/>
    <w:bookmarkEnd w:id="4"/>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LEI Qun et al. / Petroleum Exploration and Development, 2023, 50(4): 944–954</w:t>
      </w:r>
    </w:p>
    <w:p>
      <w:pPr>
        <w:sectPr>
          <w:pgSz w:w="11900" w:h="16840" w:orient="portrait"/>
          <w:cols w:equalWidth="0" w:num="1">
            <w:col w:w="9980"/>
          </w:cols>
          <w:pgMar w:left="960" w:top="1015" w:right="964" w:bottom="411" w:gutter="0" w:footer="0" w:header="0"/>
        </w:sectPr>
      </w:pPr>
    </w:p>
    <w:p>
      <w:pPr>
        <w:spacing w:after="0" w:line="325"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19"/>
          <w:szCs w:val="19"/>
          <w:color w:val="auto"/>
        </w:rPr>
        <w:t>tion of sand source”. From 2011 to 2021, the amount of proppant consumption in the United States increased from 1820×10</w:t>
      </w:r>
      <w:r>
        <w:rPr>
          <w:rFonts w:ascii="Times New Roman" w:cs="Times New Roman" w:eastAsia="Times New Roman" w:hAnsi="Times New Roman"/>
          <w:sz w:val="22"/>
          <w:szCs w:val="22"/>
          <w:color w:val="auto"/>
          <w:vertAlign w:val="superscript"/>
        </w:rPr>
        <w:t>4</w:t>
      </w:r>
      <w:r>
        <w:rPr>
          <w:rFonts w:ascii="Times New Roman" w:cs="Times New Roman" w:eastAsia="Times New Roman" w:hAnsi="Times New Roman"/>
          <w:sz w:val="19"/>
          <w:szCs w:val="19"/>
          <w:color w:val="auto"/>
        </w:rPr>
        <w:t xml:space="preserve"> t to 8600×10</w:t>
      </w:r>
      <w:r>
        <w:rPr>
          <w:rFonts w:ascii="Times New Roman" w:cs="Times New Roman" w:eastAsia="Times New Roman" w:hAnsi="Times New Roman"/>
          <w:sz w:val="22"/>
          <w:szCs w:val="22"/>
          <w:color w:val="auto"/>
          <w:vertAlign w:val="superscript"/>
        </w:rPr>
        <w:t>4</w:t>
      </w:r>
      <w:r>
        <w:rPr>
          <w:rFonts w:ascii="Times New Roman" w:cs="Times New Roman" w:eastAsia="Times New Roman" w:hAnsi="Times New Roman"/>
          <w:sz w:val="19"/>
          <w:szCs w:val="19"/>
          <w:color w:val="auto"/>
        </w:rPr>
        <w:t xml:space="preserve"> t, with quartz sand ac-counting for more than 98% of the total. The proportion of quartz sand in proppant in the Haynesville deep shale gas is over 95%, and 0.380/0.212 mm (40/70 mesh) and 0.212/0.109 mm (70/140 mesh) are the main particle sizes. In addition, the application scale of 0.074 mm (200 mesh) quartz sand is gradually increasing, and related tests have also been carried out for 0.048 mm (300 mesh) quartz sand. Compared with the United States, there is a gap in the application scale of quartz sand and the ap-plication of small particle size quartz sand in China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[19]</w:t>
      </w:r>
      <w:r>
        <w:rPr>
          <w:rFonts w:ascii="Times New Roman" w:cs="Times New Roman" w:eastAsia="Times New Roman" w:hAnsi="Times New Roman"/>
          <w:sz w:val="19"/>
          <w:szCs w:val="19"/>
          <w:color w:val="auto"/>
        </w:rPr>
        <w:t>. In CNPC, for example, the amount of proppant consumption increased from 130×10</w:t>
      </w:r>
      <w:r>
        <w:rPr>
          <w:rFonts w:ascii="Times New Roman" w:cs="Times New Roman" w:eastAsia="Times New Roman" w:hAnsi="Times New Roman"/>
          <w:sz w:val="22"/>
          <w:szCs w:val="22"/>
          <w:color w:val="auto"/>
          <w:vertAlign w:val="superscript"/>
        </w:rPr>
        <w:t>4</w:t>
      </w:r>
      <w:r>
        <w:rPr>
          <w:rFonts w:ascii="Times New Roman" w:cs="Times New Roman" w:eastAsia="Times New Roman" w:hAnsi="Times New Roman"/>
          <w:sz w:val="19"/>
          <w:szCs w:val="19"/>
          <w:color w:val="auto"/>
        </w:rPr>
        <w:t xml:space="preserve"> t in 2014 to 440×10</w:t>
      </w:r>
      <w:r>
        <w:rPr>
          <w:rFonts w:ascii="Times New Roman" w:cs="Times New Roman" w:eastAsia="Times New Roman" w:hAnsi="Times New Roman"/>
          <w:sz w:val="22"/>
          <w:szCs w:val="22"/>
          <w:color w:val="auto"/>
          <w:vertAlign w:val="superscript"/>
        </w:rPr>
        <w:t>4</w:t>
      </w:r>
      <w:r>
        <w:rPr>
          <w:rFonts w:ascii="Times New Roman" w:cs="Times New Roman" w:eastAsia="Times New Roman" w:hAnsi="Times New Roman"/>
          <w:sz w:val="19"/>
          <w:szCs w:val="19"/>
          <w:color w:val="auto"/>
        </w:rPr>
        <w:t xml:space="preserve"> t in 2021, and the proportion of quartz sand increased from 45% to 87%. The proportion of quartz sand applied to the shale gas at the depth of less than 3500 m increased from 34% to 72%, and that at the depth of more than 3500 m reached 47%, while the proportion of quartz sand applied to shale oil reached almost 100%. The proppant for shale gas in the Sichuan Basin is mainly quartz sand with 0.212/0.109 mm (70/140 mesh), accounting for 70%; for Changqing shale oil, 0.212/0.109 mm (70/140 mesh) and 0.212/0.109 mm (70/140 mesh) quartz sand are mixed in a specific ratio.</w:t>
      </w:r>
    </w:p>
    <w:p>
      <w:pPr>
        <w:spacing w:after="0" w:line="385" w:lineRule="exact"/>
        <w:rPr>
          <w:sz w:val="20"/>
          <w:szCs w:val="20"/>
          <w:color w:val="auto"/>
        </w:rPr>
      </w:pPr>
    </w:p>
    <w:p>
      <w:pPr>
        <w:spacing w:after="0"/>
        <w:tabs>
          <w:tab w:leader="none" w:pos="460" w:val="left"/>
        </w:tabs>
        <w:rPr>
          <w:sz w:val="20"/>
          <w:szCs w:val="20"/>
          <w:color w:val="auto"/>
        </w:rPr>
      </w:pPr>
      <w:r>
        <w:rPr>
          <w:rFonts w:ascii="Times New Roman" w:cs="Times New Roman" w:eastAsia="Times New Roman" w:hAnsi="Times New Roman"/>
          <w:sz w:val="19"/>
          <w:szCs w:val="19"/>
          <w:b w:val="1"/>
          <w:bCs w:val="1"/>
          <w:color w:val="auto"/>
        </w:rPr>
        <w:t>1.5.</w:t>
        <w:tab/>
        <w:t>Gap in oil and gas production technology</w:t>
      </w:r>
    </w:p>
    <w:p>
      <w:pPr>
        <w:spacing w:after="0" w:line="179" w:lineRule="exact"/>
        <w:rPr>
          <w:sz w:val="20"/>
          <w:szCs w:val="20"/>
          <w:color w:val="auto"/>
        </w:rPr>
      </w:pPr>
    </w:p>
    <w:p>
      <w:pPr>
        <w:jc w:val="both"/>
        <w:ind w:firstLine="193"/>
        <w:spacing w:after="0" w:line="281" w:lineRule="auto"/>
        <w:rPr>
          <w:sz w:val="20"/>
          <w:szCs w:val="20"/>
          <w:color w:val="auto"/>
        </w:rPr>
      </w:pPr>
      <w:r>
        <w:rPr>
          <w:rFonts w:ascii="Times New Roman" w:cs="Times New Roman" w:eastAsia="Times New Roman" w:hAnsi="Times New Roman"/>
          <w:sz w:val="19"/>
          <w:szCs w:val="19"/>
          <w:color w:val="auto"/>
        </w:rPr>
        <w:t>In oil production technology, shale oil horizontal wells in the United States mainly use wide-range electric pump lift and gas lift. The maximum pump depth can reach 3700 m, and the distance between the pump setting and the horizontal interval (also called pump-hole distance) is 100–300 m. The average cycle of pump inspection is about 600 d. Shale oil horizontal wells in China are mainly lifted by rod pump and electric submersible screw pump. The maximum pump depth is only 2500 m, and the distance between the pump setting and the horizontal interval is 600–1000 m, so the depth and production po-tentials are still large. The average cycle of pump inspec-tion in China is only 65% of that in the United States, but the operation frequency is about 54% higher than that in the North America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[9]</w:t>
      </w:r>
      <w:r>
        <w:rPr>
          <w:rFonts w:ascii="Times New Roman" w:cs="Times New Roman" w:eastAsia="Times New Roman" w:hAnsi="Times New Roman"/>
          <w:sz w:val="19"/>
          <w:szCs w:val="19"/>
          <w:color w:val="auto"/>
        </w:rPr>
        <w:t>.</w:t>
      </w:r>
    </w:p>
    <w:p>
      <w:pPr>
        <w:spacing w:after="0" w:line="248" w:lineRule="exact"/>
        <w:rPr>
          <w:sz w:val="20"/>
          <w:szCs w:val="20"/>
          <w:color w:val="auto"/>
        </w:rPr>
      </w:pPr>
    </w:p>
    <w:p>
      <w:pPr>
        <w:jc w:val="both"/>
        <w:ind w:firstLine="193"/>
        <w:spacing w:after="0" w:line="278" w:lineRule="auto"/>
        <w:rPr>
          <w:sz w:val="20"/>
          <w:szCs w:val="20"/>
          <w:color w:val="auto"/>
        </w:rPr>
      </w:pPr>
      <w:r>
        <w:rPr>
          <w:rFonts w:ascii="Times New Roman" w:cs="Times New Roman" w:eastAsia="Times New Roman" w:hAnsi="Times New Roman"/>
          <w:sz w:val="19"/>
          <w:szCs w:val="19"/>
          <w:color w:val="auto"/>
        </w:rPr>
        <w:t>In gas production technology, the United States has developed the concept of full-life cycle formation energy maintenance and the corresponding gas production technology system. The controlled pressure production can be fine to 0.01 MPa/d, the capacity of operation under pressure can reach 105 MPa, drainage and gas production in different production stages has been serialized, and the predicted final recoverable reserves of a single well can be increased by 30%–40%. The concept of formation en-ergy maintenance has not been developed systematically in China, and the precise managed-pressure production technology has not been effectively formed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[20]</w:t>
      </w:r>
      <w:r>
        <w:rPr>
          <w:rFonts w:ascii="Times New Roman" w:cs="Times New Roman" w:eastAsia="Times New Roman" w:hAnsi="Times New Roman"/>
          <w:sz w:val="19"/>
          <w:szCs w:val="19"/>
          <w:color w:val="auto"/>
        </w:rPr>
        <w:t>. The oper-ating pressure of tubing running under the maximum</w:t>
      </w:r>
    </w:p>
    <w:p>
      <w:pPr>
        <w:spacing w:after="0" w:line="20" w:lineRule="exact"/>
        <w:rPr>
          <w:sz w:val="20"/>
          <w:szCs w:val="20"/>
          <w:color w:val="auto"/>
        </w:rPr>
      </w:pPr>
      <w:r>
        <w:rPr>
          <w:sz w:val="20"/>
          <w:szCs w:val="20"/>
          <w:color w:val="auto"/>
        </w:rPr>
        <w:br w:type="column"/>
      </w:r>
    </w:p>
    <w:p>
      <w:pPr>
        <w:spacing w:after="0" w:line="306" w:lineRule="exact"/>
        <w:rPr>
          <w:sz w:val="20"/>
          <w:szCs w:val="20"/>
          <w:color w:val="auto"/>
        </w:rPr>
      </w:pPr>
    </w:p>
    <w:p>
      <w:pPr>
        <w:jc w:val="both"/>
        <w:spacing w:after="0" w:line="280" w:lineRule="auto"/>
        <w:rPr>
          <w:sz w:val="20"/>
          <w:szCs w:val="20"/>
          <w:color w:val="auto"/>
        </w:rPr>
      </w:pPr>
      <w:r>
        <w:rPr>
          <w:rFonts w:ascii="Times New Roman" w:cs="Times New Roman" w:eastAsia="Times New Roman" w:hAnsi="Times New Roman"/>
          <w:sz w:val="19"/>
          <w:szCs w:val="19"/>
          <w:color w:val="auto"/>
        </w:rPr>
        <w:t>pressure is only 35 MPa, which cannot support direct tubing running for production after fracturing. The drainage and gas production technology in the early stage of production in China is quite different from that in the United States.</w:t>
      </w:r>
    </w:p>
    <w:p>
      <w:pPr>
        <w:spacing w:after="0" w:line="371" w:lineRule="exact"/>
        <w:rPr>
          <w:sz w:val="20"/>
          <w:szCs w:val="20"/>
          <w:color w:val="auto"/>
        </w:rPr>
      </w:pPr>
    </w:p>
    <w:p>
      <w:pPr>
        <w:spacing w:after="0"/>
        <w:tabs>
          <w:tab w:leader="none" w:pos="460" w:val="left"/>
        </w:tabs>
        <w:rPr>
          <w:sz w:val="20"/>
          <w:szCs w:val="20"/>
          <w:color w:val="auto"/>
        </w:rPr>
      </w:pPr>
      <w:r>
        <w:rPr>
          <w:rFonts w:ascii="Times New Roman" w:cs="Times New Roman" w:eastAsia="Times New Roman" w:hAnsi="Times New Roman"/>
          <w:sz w:val="19"/>
          <w:szCs w:val="19"/>
          <w:b w:val="1"/>
          <w:bCs w:val="1"/>
          <w:color w:val="auto"/>
        </w:rPr>
        <w:t>1.6.</w:t>
        <w:tab/>
        <w:t>Gap in data/achievements sharing</w:t>
      </w:r>
    </w:p>
    <w:p>
      <w:pPr>
        <w:spacing w:after="0" w:line="179" w:lineRule="exact"/>
        <w:rPr>
          <w:sz w:val="20"/>
          <w:szCs w:val="20"/>
          <w:color w:val="auto"/>
        </w:rPr>
      </w:pPr>
    </w:p>
    <w:p>
      <w:pPr>
        <w:jc w:val="both"/>
        <w:ind w:firstLine="193"/>
        <w:spacing w:after="0" w:line="281" w:lineRule="auto"/>
        <w:rPr>
          <w:sz w:val="20"/>
          <w:szCs w:val="20"/>
          <w:color w:val="auto"/>
        </w:rPr>
      </w:pPr>
      <w:r>
        <w:rPr>
          <w:rFonts w:ascii="Times New Roman" w:cs="Times New Roman" w:eastAsia="Times New Roman" w:hAnsi="Times New Roman"/>
          <w:sz w:val="19"/>
          <w:szCs w:val="19"/>
          <w:color w:val="auto"/>
        </w:rPr>
        <w:t>In historical data, FracFocus, Drillinginfo and other databases have been built up in the United States, and more than 100 000 hydraulic fracturing reports of 27 states have been published, covering more than 300 types of fluids, proppants and other well materials in 10 cate-gories, including chemical composition, content, concen-tration, toxicity and harmful evaluation information. Therefore the basic data, design scheme, material infor-mation, construction parameters and application tech-nology of fractured wells can be shared. Oil companies in China are building dream cloud and data lake systems. Each oilfield reported basic construction information in a statistical way, but the content is simple and the format is inconsistent. The information system of well materials is still to be planned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[21]</w:t>
      </w:r>
      <w:r>
        <w:rPr>
          <w:rFonts w:ascii="Times New Roman" w:cs="Times New Roman" w:eastAsia="Times New Roman" w:hAnsi="Times New Roman"/>
          <w:sz w:val="19"/>
          <w:szCs w:val="19"/>
          <w:color w:val="auto"/>
        </w:rPr>
        <w:t>.</w:t>
      </w:r>
    </w:p>
    <w:p>
      <w:pPr>
        <w:spacing w:after="0" w:line="248" w:lineRule="exact"/>
        <w:rPr>
          <w:sz w:val="20"/>
          <w:szCs w:val="20"/>
          <w:color w:val="auto"/>
        </w:rPr>
      </w:pPr>
    </w:p>
    <w:p>
      <w:pPr>
        <w:jc w:val="both"/>
        <w:ind w:firstLine="193"/>
        <w:spacing w:after="0" w:line="281" w:lineRule="auto"/>
        <w:rPr>
          <w:sz w:val="20"/>
          <w:szCs w:val="20"/>
          <w:color w:val="auto"/>
        </w:rPr>
      </w:pPr>
      <w:r>
        <w:rPr>
          <w:rFonts w:ascii="Times New Roman" w:cs="Times New Roman" w:eastAsia="Times New Roman" w:hAnsi="Times New Roman"/>
          <w:sz w:val="19"/>
          <w:szCs w:val="19"/>
          <w:color w:val="auto"/>
        </w:rPr>
        <w:t>As for real-time data, Saudi Aramco, Shell, Baker Hughes, Halliburton and other companies have built up a comprehensive drilling and completion center that inte-grates real-time monitoring, optimization, decision mak-ing and commanding, focusing on the whole process from plan design, tracking and monitoring, real-time optimization to exploration and development, dedicating to achieve the full-life cycle optimization of blocks. China’s oil companies are preparing to build intelligent support centers for engineering operations. Southwest Oil &amp; Gasfield, Xinjiang Oilfield, Changqing Oilfield and other oilfields have remote decision-making and com-manding systems that basically have the capacities of remote monitoring, decision making and commanding, and are crucial to the digital transformation of major oilfields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[22]</w:t>
      </w:r>
      <w:r>
        <w:rPr>
          <w:rFonts w:ascii="Times New Roman" w:cs="Times New Roman" w:eastAsia="Times New Roman" w:hAnsi="Times New Roman"/>
          <w:sz w:val="19"/>
          <w:szCs w:val="19"/>
          <w:color w:val="auto"/>
        </w:rPr>
        <w:t>.</w:t>
      </w:r>
    </w:p>
    <w:p>
      <w:pPr>
        <w:spacing w:after="0" w:line="348" w:lineRule="exact"/>
        <w:rPr>
          <w:sz w:val="20"/>
          <w:szCs w:val="20"/>
          <w:color w:val="auto"/>
        </w:rPr>
      </w:pPr>
    </w:p>
    <w:p>
      <w:pPr>
        <w:spacing w:after="0" w:line="231" w:lineRule="auto"/>
        <w:tabs>
          <w:tab w:leader="none" w:pos="397" w:val="left"/>
        </w:tabs>
        <w:numPr>
          <w:ilvl w:val="0"/>
          <w:numId w:val="5"/>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Shortcomings of Chinese shale oil and gas exploitation technologies</w:t>
      </w:r>
    </w:p>
    <w:p>
      <w:pPr>
        <w:spacing w:after="0" w:line="178" w:lineRule="exact"/>
        <w:rPr>
          <w:sz w:val="20"/>
          <w:szCs w:val="20"/>
          <w:color w:val="auto"/>
        </w:rPr>
      </w:pPr>
    </w:p>
    <w:p>
      <w:pPr>
        <w:jc w:val="both"/>
        <w:ind w:firstLine="193"/>
        <w:spacing w:after="0" w:line="282" w:lineRule="auto"/>
        <w:rPr>
          <w:sz w:val="20"/>
          <w:szCs w:val="20"/>
          <w:color w:val="auto"/>
        </w:rPr>
      </w:pPr>
      <w:r>
        <w:rPr>
          <w:rFonts w:ascii="Times New Roman" w:cs="Times New Roman" w:eastAsia="Times New Roman" w:hAnsi="Times New Roman"/>
          <w:sz w:val="19"/>
          <w:szCs w:val="19"/>
          <w:color w:val="auto"/>
        </w:rPr>
        <w:t>The comparative analysis of shale oil and gas produc-tion technology between China and the United States clarifies the gap between the two countries, and summa-rizes seven shortcomings in the China’s shale oil and gas development.</w:t>
      </w:r>
    </w:p>
    <w:p>
      <w:pPr>
        <w:spacing w:after="0" w:line="373" w:lineRule="exact"/>
        <w:rPr>
          <w:sz w:val="20"/>
          <w:szCs w:val="20"/>
          <w:color w:val="auto"/>
        </w:rPr>
      </w:pPr>
    </w:p>
    <w:p>
      <w:pPr>
        <w:spacing w:after="0"/>
        <w:tabs>
          <w:tab w:leader="none" w:pos="440" w:val="left"/>
        </w:tabs>
        <w:rPr>
          <w:sz w:val="20"/>
          <w:szCs w:val="20"/>
          <w:color w:val="auto"/>
        </w:rPr>
      </w:pPr>
      <w:r>
        <w:rPr>
          <w:rFonts w:ascii="Times New Roman" w:cs="Times New Roman" w:eastAsia="Times New Roman" w:hAnsi="Times New Roman"/>
          <w:sz w:val="19"/>
          <w:szCs w:val="19"/>
          <w:b w:val="1"/>
          <w:bCs w:val="1"/>
          <w:color w:val="auto"/>
        </w:rPr>
        <w:t>2.1.</w:t>
        <w:tab/>
        <w:t>The understanding of flow regime</w:t>
      </w:r>
    </w:p>
    <w:p>
      <w:pPr>
        <w:spacing w:after="0" w:line="181" w:lineRule="exact"/>
        <w:rPr>
          <w:sz w:val="20"/>
          <w:szCs w:val="20"/>
          <w:color w:val="auto"/>
        </w:rPr>
      </w:pPr>
    </w:p>
    <w:p>
      <w:pPr>
        <w:jc w:val="both"/>
        <w:ind w:firstLine="193"/>
        <w:spacing w:after="0" w:line="272" w:lineRule="auto"/>
        <w:rPr>
          <w:sz w:val="20"/>
          <w:szCs w:val="20"/>
          <w:color w:val="auto"/>
        </w:rPr>
      </w:pPr>
      <w:r>
        <w:rPr>
          <w:rFonts w:ascii="Times New Roman" w:cs="Times New Roman" w:eastAsia="Times New Roman" w:hAnsi="Times New Roman"/>
          <w:sz w:val="19"/>
          <w:szCs w:val="19"/>
          <w:color w:val="auto"/>
        </w:rPr>
        <w:t>The main task of reservoir development is well layout, and the main task of reservoir stimulation is fracture layout, and the core element of both is to clarify the flow regime of reservoir fluid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[23]</w:t>
      </w:r>
      <w:r>
        <w:rPr>
          <w:rFonts w:ascii="Times New Roman" w:cs="Times New Roman" w:eastAsia="Times New Roman" w:hAnsi="Times New Roman"/>
          <w:sz w:val="19"/>
          <w:szCs w:val="19"/>
          <w:color w:val="auto"/>
        </w:rPr>
        <w:t>. Therefore, clarifying the fluid flow regime of shale reservoir can provide theoretical guidance for the optimization of shale oil and gas development plan.</w:t>
      </w:r>
    </w:p>
    <w:p>
      <w:pPr>
        <w:spacing w:after="0" w:line="1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The following weak points remain in the current re-</w:t>
      </w:r>
    </w:p>
    <w:p>
      <w:pPr>
        <w:spacing w:after="0" w:line="44" w:lineRule="exact"/>
        <w:rPr>
          <w:sz w:val="20"/>
          <w:szCs w:val="20"/>
          <w:color w:val="auto"/>
        </w:rPr>
      </w:pPr>
    </w:p>
    <w:p>
      <w:pPr>
        <w:sectPr>
          <w:pgSz w:w="11900" w:h="16840" w:orient="portrait"/>
          <w:cols w:equalWidth="0" w:num="2">
            <w:col w:w="4760" w:space="460"/>
            <w:col w:w="4760"/>
          </w:cols>
          <w:pgMar w:left="960" w:top="1015" w:right="964" w:bottom="411" w:gutter="0" w:footer="0" w:header="0"/>
          <w:type w:val="continuous"/>
        </w:sectPr>
      </w:pPr>
    </w:p>
    <w:p>
      <w:pPr>
        <w:jc w:val="center"/>
        <w:spacing w:after="0" w:line="222" w:lineRule="auto"/>
        <w:rPr>
          <w:sz w:val="20"/>
          <w:szCs w:val="20"/>
          <w:color w:val="auto"/>
        </w:rPr>
      </w:pPr>
      <w:r>
        <w:rPr>
          <w:rFonts w:ascii="Times New Roman" w:cs="Times New Roman" w:eastAsia="Times New Roman" w:hAnsi="Times New Roman"/>
          <w:sz w:val="18"/>
          <w:szCs w:val="18"/>
          <w:color w:val="auto"/>
        </w:rPr>
        <w:t>948</w:t>
      </w:r>
    </w:p>
    <w:p>
      <w:pPr>
        <w:sectPr>
          <w:pgSz w:w="11900" w:h="16840" w:orient="portrait"/>
          <w:cols w:equalWidth="0" w:num="1">
            <w:col w:w="9980"/>
          </w:cols>
          <w:pgMar w:left="960" w:top="1015" w:right="964" w:bottom="411" w:gutter="0" w:footer="0" w:header="0"/>
          <w:type w:val="continuous"/>
        </w:sectPr>
      </w:pPr>
    </w:p>
    <w:bookmarkStart w:id="5" w:name="page6"/>
    <w:bookmarkEnd w:id="5"/>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LEI Qun et al. / Petroleum Exploration and Development, 2023, 50(4): 944–954</w:t>
      </w:r>
    </w:p>
    <w:p>
      <w:pPr>
        <w:sectPr>
          <w:pgSz w:w="11900" w:h="16840" w:orient="portrait"/>
          <w:cols w:equalWidth="0" w:num="1">
            <w:col w:w="9980"/>
          </w:cols>
          <w:pgMar w:left="960" w:top="1015" w:right="964" w:bottom="411" w:gutter="0" w:footer="0" w:header="0"/>
        </w:sectPr>
      </w:pPr>
    </w:p>
    <w:p>
      <w:pPr>
        <w:spacing w:after="0" w:line="325"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19"/>
          <w:szCs w:val="19"/>
          <w:color w:val="auto"/>
        </w:rPr>
        <w:t>search on fluid flow regime: (1) The fluid flow process after shale fracturing involves multi-scale and multi-po-rous medium, which requires consideration of mi-cro-scale molecular motion and matrix diffusion and flow, as well as macro-scale fracture conductivity, interaction between natural and artificial fractures, and interaction between beddings and artificial fractures. Therefore, the flow regime is extremely complex, and relevant basic research needs to be strengthened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[24–25]</w:t>
      </w:r>
      <w:r>
        <w:rPr>
          <w:rFonts w:ascii="Times New Roman" w:cs="Times New Roman" w:eastAsia="Times New Roman" w:hAnsi="Times New Roman"/>
          <w:sz w:val="19"/>
          <w:szCs w:val="19"/>
          <w:color w:val="auto"/>
        </w:rPr>
        <w:t>. (2) The rela-tionships between residual oil and gas distribution and well pattern/well spacing, fracture interval, and fracture length need to be verified through field practice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[26]</w:t>
      </w:r>
      <w:r>
        <w:rPr>
          <w:rFonts w:ascii="Times New Roman" w:cs="Times New Roman" w:eastAsia="Times New Roman" w:hAnsi="Times New Roman"/>
          <w:sz w:val="19"/>
          <w:szCs w:val="19"/>
          <w:color w:val="auto"/>
        </w:rPr>
        <w:t>. (3) Platform-type development and factory-like operation increase the stress disturbance between wells. Therefore, it is urgent to develop and apply geological-engineering integrated fracturing simulation software considering the fluid-solid-thermal coupling throughout the full-life cycle of oil and gas wells.</w:t>
      </w:r>
    </w:p>
    <w:p>
      <w:pPr>
        <w:spacing w:after="0" w:line="391" w:lineRule="exact"/>
        <w:rPr>
          <w:sz w:val="20"/>
          <w:szCs w:val="20"/>
          <w:color w:val="auto"/>
        </w:rPr>
      </w:pPr>
    </w:p>
    <w:p>
      <w:pPr>
        <w:spacing w:after="0"/>
        <w:tabs>
          <w:tab w:leader="none" w:pos="480" w:val="left"/>
        </w:tabs>
        <w:rPr>
          <w:sz w:val="20"/>
          <w:szCs w:val="20"/>
          <w:color w:val="auto"/>
        </w:rPr>
      </w:pPr>
      <w:r>
        <w:rPr>
          <w:rFonts w:ascii="Times New Roman" w:cs="Times New Roman" w:eastAsia="Times New Roman" w:hAnsi="Times New Roman"/>
          <w:sz w:val="19"/>
          <w:szCs w:val="19"/>
          <w:b w:val="1"/>
          <w:bCs w:val="1"/>
          <w:color w:val="auto"/>
        </w:rPr>
        <w:t>2.2.</w:t>
        <w:tab/>
        <w:t>The production of oil and gas reserves</w:t>
      </w:r>
    </w:p>
    <w:p>
      <w:pPr>
        <w:spacing w:after="0" w:line="177" w:lineRule="exact"/>
        <w:rPr>
          <w:sz w:val="20"/>
          <w:szCs w:val="20"/>
          <w:color w:val="auto"/>
        </w:rPr>
      </w:pPr>
    </w:p>
    <w:p>
      <w:pPr>
        <w:jc w:val="both"/>
        <w:ind w:right="60" w:firstLine="193"/>
        <w:spacing w:after="0" w:line="265" w:lineRule="auto"/>
        <w:rPr>
          <w:sz w:val="20"/>
          <w:szCs w:val="20"/>
          <w:color w:val="auto"/>
        </w:rPr>
      </w:pPr>
      <w:r>
        <w:rPr>
          <w:rFonts w:ascii="Times New Roman" w:cs="Times New Roman" w:eastAsia="Times New Roman" w:hAnsi="Times New Roman"/>
          <w:sz w:val="19"/>
          <w:szCs w:val="19"/>
          <w:color w:val="auto"/>
        </w:rPr>
        <w:t>Improving the production of shale oil and gas reserves is the premise of increasing the production capacity of a single well</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[27]</w:t>
      </w:r>
      <w:r>
        <w:rPr>
          <w:rFonts w:ascii="Times New Roman" w:cs="Times New Roman" w:eastAsia="Times New Roman" w:hAnsi="Times New Roman"/>
          <w:sz w:val="19"/>
          <w:szCs w:val="19"/>
          <w:color w:val="auto"/>
        </w:rPr>
        <w:t>, so it is necessary to deepen and develop the basic understanding and development technology of improving the producing of shale oil and gas reserves.</w:t>
      </w:r>
    </w:p>
    <w:p>
      <w:pPr>
        <w:spacing w:after="0" w:line="36" w:lineRule="exact"/>
        <w:rPr>
          <w:sz w:val="20"/>
          <w:szCs w:val="20"/>
          <w:color w:val="auto"/>
        </w:rPr>
      </w:pPr>
    </w:p>
    <w:p>
      <w:pPr>
        <w:jc w:val="both"/>
        <w:ind w:right="60" w:firstLine="193"/>
        <w:spacing w:after="0" w:line="280" w:lineRule="auto"/>
        <w:rPr>
          <w:sz w:val="20"/>
          <w:szCs w:val="20"/>
          <w:color w:val="auto"/>
        </w:rPr>
      </w:pPr>
      <w:r>
        <w:rPr>
          <w:rFonts w:ascii="Times New Roman" w:cs="Times New Roman" w:eastAsia="Times New Roman" w:hAnsi="Times New Roman"/>
          <w:sz w:val="19"/>
          <w:szCs w:val="19"/>
          <w:color w:val="auto"/>
        </w:rPr>
        <w:t>The current research on the producing of shale oil and gas reserves has the following weaknesses: (1) The pro-duction capacity contribution of micro- and nano-pore throats is lack of understanding. The proportion of mi-cro- and nano-pore throats in shale is more than 70%. The key technologies for producing reserves from micro-and nano-pore throats with high specific surface area and improving the recovery degree of oil and gas reserve need to be further studied. (2) The recovery ratio of a single well is low and the declining rate is large. The supporting technologies to maximize the producing of shale oil and gas and delay the decline of production are still being explored. (3) The function that fractures control reserves is not given full play, and well spacing, fracture interval and fracture length do not match reservoir size. (4) The three-dimensional development technology has not been fully developed, and the number of vertical production layers and platform wells of shale oil are insufficient. The well type and well spacing design of three-dimensional development need to be optimized, while the experiment of three-dimensional development to improve the pro-duction rate of shale gas needs to be carried out.</w:t>
      </w:r>
    </w:p>
    <w:p>
      <w:pPr>
        <w:spacing w:after="0" w:line="381" w:lineRule="exact"/>
        <w:rPr>
          <w:sz w:val="20"/>
          <w:szCs w:val="20"/>
          <w:color w:val="auto"/>
        </w:rPr>
      </w:pPr>
    </w:p>
    <w:p>
      <w:pPr>
        <w:spacing w:after="0"/>
        <w:tabs>
          <w:tab w:leader="none" w:pos="480" w:val="left"/>
        </w:tabs>
        <w:rPr>
          <w:sz w:val="20"/>
          <w:szCs w:val="20"/>
          <w:color w:val="auto"/>
        </w:rPr>
      </w:pPr>
      <w:r>
        <w:rPr>
          <w:rFonts w:ascii="Times New Roman" w:cs="Times New Roman" w:eastAsia="Times New Roman" w:hAnsi="Times New Roman"/>
          <w:sz w:val="19"/>
          <w:szCs w:val="19"/>
          <w:b w:val="1"/>
          <w:bCs w:val="1"/>
          <w:color w:val="auto"/>
        </w:rPr>
        <w:t>2.3.</w:t>
        <w:tab/>
        <w:t>The monitoring of complex fractures</w:t>
      </w:r>
    </w:p>
    <w:p>
      <w:pPr>
        <w:spacing w:after="0" w:line="181" w:lineRule="exact"/>
        <w:rPr>
          <w:sz w:val="20"/>
          <w:szCs w:val="20"/>
          <w:color w:val="auto"/>
        </w:rPr>
      </w:pPr>
    </w:p>
    <w:p>
      <w:pPr>
        <w:jc w:val="both"/>
        <w:ind w:right="60" w:firstLine="193"/>
        <w:spacing w:after="0" w:line="279" w:lineRule="auto"/>
        <w:rPr>
          <w:sz w:val="20"/>
          <w:szCs w:val="20"/>
          <w:color w:val="auto"/>
        </w:rPr>
      </w:pPr>
      <w:r>
        <w:rPr>
          <w:rFonts w:ascii="Times New Roman" w:cs="Times New Roman" w:eastAsia="Times New Roman" w:hAnsi="Times New Roman"/>
          <w:sz w:val="19"/>
          <w:szCs w:val="19"/>
          <w:color w:val="auto"/>
        </w:rPr>
        <w:t>Shale reservoirs are characterized by strong heteroge-neity, complex stress characteristics, and developed bed-ding and natural fractures. After fracturing, a complex fracture network with artificial and natural fractures is usually formed, which increases the difficulty of quanti-tative characterization of fracture size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[28]</w:t>
      </w:r>
      <w:r>
        <w:rPr>
          <w:rFonts w:ascii="Times New Roman" w:cs="Times New Roman" w:eastAsia="Times New Roman" w:hAnsi="Times New Roman"/>
          <w:sz w:val="19"/>
          <w:szCs w:val="19"/>
          <w:color w:val="auto"/>
        </w:rPr>
        <w:t>. Three-dimen-</w:t>
      </w:r>
    </w:p>
    <w:p>
      <w:pPr>
        <w:spacing w:after="0" w:line="20" w:lineRule="exact"/>
        <w:rPr>
          <w:sz w:val="20"/>
          <w:szCs w:val="20"/>
          <w:color w:val="auto"/>
        </w:rPr>
      </w:pPr>
      <w:r>
        <w:rPr>
          <w:sz w:val="20"/>
          <w:szCs w:val="20"/>
          <w:color w:val="auto"/>
        </w:rPr>
        <w:br w:type="column"/>
      </w:r>
    </w:p>
    <w:p>
      <w:pPr>
        <w:spacing w:after="0" w:line="308" w:lineRule="exact"/>
        <w:rPr>
          <w:sz w:val="20"/>
          <w:szCs w:val="20"/>
          <w:color w:val="auto"/>
        </w:rPr>
      </w:pPr>
    </w:p>
    <w:p>
      <w:pPr>
        <w:jc w:val="both"/>
        <w:spacing w:after="0" w:line="278" w:lineRule="auto"/>
        <w:rPr>
          <w:sz w:val="20"/>
          <w:szCs w:val="20"/>
          <w:color w:val="auto"/>
        </w:rPr>
      </w:pPr>
      <w:r>
        <w:rPr>
          <w:rFonts w:ascii="Times New Roman" w:cs="Times New Roman" w:eastAsia="Times New Roman" w:hAnsi="Times New Roman"/>
          <w:sz w:val="19"/>
          <w:szCs w:val="19"/>
          <w:color w:val="auto"/>
        </w:rPr>
        <w:t>sional characterization of fracture network structure is the premise of accurate evaluation of postfrac effect, so it is necessary to develop high-precision fracture monitor-ing technology.</w:t>
      </w:r>
    </w:p>
    <w:p>
      <w:pPr>
        <w:spacing w:after="0" w:line="30" w:lineRule="exact"/>
        <w:rPr>
          <w:sz w:val="20"/>
          <w:szCs w:val="20"/>
          <w:color w:val="auto"/>
        </w:rPr>
      </w:pPr>
    </w:p>
    <w:p>
      <w:pPr>
        <w:jc w:val="both"/>
        <w:ind w:firstLine="193"/>
        <w:spacing w:after="0" w:line="288" w:lineRule="auto"/>
        <w:rPr>
          <w:sz w:val="20"/>
          <w:szCs w:val="20"/>
          <w:color w:val="auto"/>
        </w:rPr>
      </w:pPr>
      <w:r>
        <w:rPr>
          <w:rFonts w:ascii="Times New Roman" w:cs="Times New Roman" w:eastAsia="Times New Roman" w:hAnsi="Times New Roman"/>
          <w:sz w:val="19"/>
          <w:szCs w:val="19"/>
          <w:color w:val="auto"/>
        </w:rPr>
        <w:t>At present, there are still the following weaknesses in fracture monitoring technology: (1) It is difficult to iden-tify fractures quantitatively with microseismic, which is manifested in that stress disturbance and seismic events generated by fractures cannot be distinguished, and it is difficult to make sure whether the microseismic event point is the location of fracture arrival. (2) The clinome-ter cannot accurately characterize the fracture height. Currently, it can only characterize the fracture length and complexity. (3) Distributed optical fiber DTS/DAS (dis-tributed optical fiber temperature testing sys-tem/distributed optical fiber vibration sensing system) cannot evaluate the far-field fractures, but can only re-flect the status of the perforation inflow, so it can hardly reflect the fracture morphology. (4) Controllable source electromagnetic and optical fiber monitoring of the ad-jacent well are not mature enough. Although it can characterize the opening of multiple clusters of fractures and track the distribution of fracturing fluid in the for-mation, the collection accuracy and stability need to be improved, so the fracture height cannot be accurately characterized.</w:t>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tabs>
          <w:tab w:leader="none" w:pos="480" w:val="left"/>
        </w:tabs>
        <w:rPr>
          <w:sz w:val="20"/>
          <w:szCs w:val="20"/>
          <w:color w:val="auto"/>
        </w:rPr>
      </w:pPr>
      <w:r>
        <w:rPr>
          <w:rFonts w:ascii="Times New Roman" w:cs="Times New Roman" w:eastAsia="Times New Roman" w:hAnsi="Times New Roman"/>
          <w:sz w:val="19"/>
          <w:szCs w:val="19"/>
          <w:b w:val="1"/>
          <w:bCs w:val="1"/>
          <w:color w:val="auto"/>
        </w:rPr>
        <w:t>2.4.</w:t>
        <w:tab/>
        <w:t>The repeated stimulation technology</w:t>
      </w:r>
    </w:p>
    <w:p>
      <w:pPr>
        <w:spacing w:after="0" w:line="181" w:lineRule="exact"/>
        <w:rPr>
          <w:sz w:val="20"/>
          <w:szCs w:val="20"/>
          <w:color w:val="auto"/>
        </w:rPr>
      </w:pPr>
    </w:p>
    <w:p>
      <w:pPr>
        <w:jc w:val="both"/>
        <w:ind w:firstLine="193"/>
        <w:spacing w:after="0" w:line="280" w:lineRule="auto"/>
        <w:rPr>
          <w:sz w:val="20"/>
          <w:szCs w:val="20"/>
          <w:color w:val="auto"/>
        </w:rPr>
      </w:pPr>
      <w:r>
        <w:rPr>
          <w:rFonts w:ascii="Times New Roman" w:cs="Times New Roman" w:eastAsia="Times New Roman" w:hAnsi="Times New Roman"/>
          <w:sz w:val="19"/>
          <w:szCs w:val="19"/>
          <w:color w:val="auto"/>
        </w:rPr>
        <w:t>The production rates of horizontal shale oil and gas wells usually present dynamic changes in the production process, which will eventually become low-yielding and inefficient wells after long-term stable production. In addition, some horizontal wells are not completely stimulated in the initial stage of development, with large well spacing and cluster spacing, low construction dis-placement, and guanidine gum system as the main frac-turing fluid, which makes the ability of fracture control-ling reservoir not reach the best. Therefore, in order to increase production and develop potential of remaining oil and gas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[29]</w:t>
      </w:r>
      <w:r>
        <w:rPr>
          <w:rFonts w:ascii="Times New Roman" w:cs="Times New Roman" w:eastAsia="Times New Roman" w:hAnsi="Times New Roman"/>
          <w:sz w:val="19"/>
          <w:szCs w:val="19"/>
          <w:color w:val="auto"/>
        </w:rPr>
        <w:t>, it is necessary to take measures such as repeated stimulation and supporting diagnosis for low-producing and low-efficiency wells and the wells that are not stimulated properly in early stage and suffer frac-ture failure, with lost interval or inaccurate clustering</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[30]</w:t>
      </w:r>
      <w:r>
        <w:rPr>
          <w:rFonts w:ascii="Times New Roman" w:cs="Times New Roman" w:eastAsia="Times New Roman" w:hAnsi="Times New Roman"/>
          <w:sz w:val="19"/>
          <w:szCs w:val="19"/>
          <w:color w:val="auto"/>
        </w:rPr>
        <w:t>.</w:t>
      </w:r>
    </w:p>
    <w:p>
      <w:pPr>
        <w:spacing w:after="0" w:line="256" w:lineRule="exact"/>
        <w:rPr>
          <w:sz w:val="20"/>
          <w:szCs w:val="20"/>
          <w:color w:val="auto"/>
        </w:rPr>
      </w:pPr>
    </w:p>
    <w:p>
      <w:pPr>
        <w:jc w:val="both"/>
        <w:ind w:firstLine="193"/>
        <w:spacing w:after="0" w:line="283" w:lineRule="auto"/>
        <w:rPr>
          <w:sz w:val="20"/>
          <w:szCs w:val="20"/>
          <w:color w:val="auto"/>
        </w:rPr>
      </w:pPr>
      <w:r>
        <w:rPr>
          <w:rFonts w:ascii="Times New Roman" w:cs="Times New Roman" w:eastAsia="Times New Roman" w:hAnsi="Times New Roman"/>
          <w:sz w:val="19"/>
          <w:szCs w:val="19"/>
          <w:color w:val="auto"/>
        </w:rPr>
        <w:t>At present, the repeated stimulation technology of horizontal wells for shale oil and gas still has the follow-ing shortcomings: (1) The dynamic characteristics of production in the development process are complex and it is difficult to accurately diagnose the causes of low production. (2) The law of oil-gas-water three-phase flow is complicated, and it is difficult to accurately character-ize the remaining oil distribution. (3) The spatial and temporal evolution law of stress field is complex, which makes it difficult to optimize refracturing interval and</w:t>
      </w:r>
    </w:p>
    <w:p>
      <w:pPr>
        <w:spacing w:after="0" w:line="68" w:lineRule="exact"/>
        <w:rPr>
          <w:sz w:val="20"/>
          <w:szCs w:val="20"/>
          <w:color w:val="auto"/>
        </w:rPr>
      </w:pPr>
    </w:p>
    <w:p>
      <w:pPr>
        <w:sectPr>
          <w:pgSz w:w="11900" w:h="16840" w:orient="portrait"/>
          <w:cols w:equalWidth="0" w:num="2">
            <w:col w:w="4820" w:space="400"/>
            <w:col w:w="4760"/>
          </w:cols>
          <w:pgMar w:left="960" w:top="1015" w:right="964" w:bottom="411" w:gutter="0" w:footer="0" w:header="0"/>
          <w:type w:val="continuous"/>
        </w:sectPr>
      </w:pPr>
    </w:p>
    <w:p>
      <w:pPr>
        <w:jc w:val="center"/>
        <w:spacing w:after="0"/>
        <w:rPr>
          <w:sz w:val="20"/>
          <w:szCs w:val="20"/>
          <w:color w:val="auto"/>
        </w:rPr>
      </w:pPr>
      <w:r>
        <w:rPr>
          <w:rFonts w:ascii="Times New Roman" w:cs="Times New Roman" w:eastAsia="Times New Roman" w:hAnsi="Times New Roman"/>
          <w:sz w:val="18"/>
          <w:szCs w:val="18"/>
          <w:color w:val="auto"/>
        </w:rPr>
        <w:t>949</w:t>
      </w:r>
    </w:p>
    <w:p>
      <w:pPr>
        <w:sectPr>
          <w:pgSz w:w="11900" w:h="16840" w:orient="portrait"/>
          <w:cols w:equalWidth="0" w:num="1">
            <w:col w:w="9980"/>
          </w:cols>
          <w:pgMar w:left="960" w:top="1015" w:right="964" w:bottom="411" w:gutter="0" w:footer="0" w:header="0"/>
          <w:type w:val="continuous"/>
        </w:sectPr>
      </w:pPr>
    </w:p>
    <w:bookmarkStart w:id="6" w:name="page7"/>
    <w:bookmarkEnd w:id="6"/>
    <w:p>
      <w:pPr>
        <w:jc w:val="center"/>
        <w:ind w:right="-159"/>
        <w:spacing w:after="0"/>
        <w:rPr>
          <w:sz w:val="20"/>
          <w:szCs w:val="20"/>
          <w:color w:val="auto"/>
        </w:rPr>
      </w:pPr>
      <w:r>
        <w:rPr>
          <w:rFonts w:ascii="Times New Roman" w:cs="Times New Roman" w:eastAsia="Times New Roman" w:hAnsi="Times New Roman"/>
          <w:sz w:val="16"/>
          <w:szCs w:val="16"/>
          <w:i w:val="1"/>
          <w:iCs w:val="1"/>
          <w:color w:val="auto"/>
        </w:rPr>
        <w:t>LEI Qun et al. / Petroleum Exploration and Development, 2023, 50(4): 944–954</w:t>
      </w:r>
    </w:p>
    <w:p>
      <w:pPr>
        <w:sectPr>
          <w:pgSz w:w="11900" w:h="16840" w:orient="portrait"/>
          <w:cols w:equalWidth="0" w:num="1">
            <w:col w:w="10020"/>
          </w:cols>
          <w:pgMar w:left="960" w:top="1015" w:right="924" w:bottom="411" w:gutter="0" w:footer="0" w:header="0"/>
        </w:sectPr>
      </w:pPr>
    </w:p>
    <w:p>
      <w:pPr>
        <w:spacing w:after="0" w:line="328" w:lineRule="exact"/>
        <w:rPr>
          <w:sz w:val="20"/>
          <w:szCs w:val="20"/>
          <w:color w:val="auto"/>
        </w:rPr>
      </w:pPr>
    </w:p>
    <w:p>
      <w:pPr>
        <w:jc w:val="both"/>
        <w:spacing w:after="0" w:line="279" w:lineRule="auto"/>
        <w:rPr>
          <w:sz w:val="20"/>
          <w:szCs w:val="20"/>
          <w:color w:val="auto"/>
        </w:rPr>
      </w:pPr>
      <w:r>
        <w:rPr>
          <w:rFonts w:ascii="Times New Roman" w:cs="Times New Roman" w:eastAsia="Times New Roman" w:hAnsi="Times New Roman"/>
          <w:sz w:val="19"/>
          <w:szCs w:val="19"/>
          <w:color w:val="auto"/>
        </w:rPr>
        <w:t>timing. (4) The lack of effective packing tools for frac-tured wellbore makes it difficult to reconstruct horizontal wellbore. (5) Given the high geological complexity of the reservoir to be refractured, it is difficult to accurately evaluate the refracturing effect.</w:t>
      </w:r>
    </w:p>
    <w:p>
      <w:pPr>
        <w:spacing w:after="0" w:line="130" w:lineRule="exact"/>
        <w:rPr>
          <w:sz w:val="20"/>
          <w:szCs w:val="20"/>
          <w:color w:val="auto"/>
        </w:rPr>
      </w:pPr>
    </w:p>
    <w:p>
      <w:pPr>
        <w:spacing w:after="0"/>
        <w:tabs>
          <w:tab w:leader="none" w:pos="480" w:val="left"/>
        </w:tabs>
        <w:rPr>
          <w:sz w:val="20"/>
          <w:szCs w:val="20"/>
          <w:color w:val="auto"/>
        </w:rPr>
      </w:pPr>
      <w:r>
        <w:rPr>
          <w:rFonts w:ascii="Times New Roman" w:cs="Times New Roman" w:eastAsia="Times New Roman" w:hAnsi="Times New Roman"/>
          <w:sz w:val="19"/>
          <w:szCs w:val="19"/>
          <w:b w:val="1"/>
          <w:bCs w:val="1"/>
          <w:color w:val="auto"/>
        </w:rPr>
        <w:t>2.5.</w:t>
        <w:tab/>
        <w:t>The oil and gas production technology</w:t>
      </w:r>
    </w:p>
    <w:p>
      <w:pPr>
        <w:spacing w:after="0" w:line="181" w:lineRule="exact"/>
        <w:rPr>
          <w:sz w:val="20"/>
          <w:szCs w:val="20"/>
          <w:color w:val="auto"/>
        </w:rPr>
      </w:pPr>
    </w:p>
    <w:p>
      <w:pPr>
        <w:jc w:val="both"/>
        <w:ind w:firstLine="193"/>
        <w:spacing w:after="0" w:line="280" w:lineRule="auto"/>
        <w:rPr>
          <w:sz w:val="20"/>
          <w:szCs w:val="20"/>
          <w:color w:val="auto"/>
        </w:rPr>
      </w:pPr>
      <w:r>
        <w:rPr>
          <w:rFonts w:ascii="Times New Roman" w:cs="Times New Roman" w:eastAsia="Times New Roman" w:hAnsi="Times New Roman"/>
          <w:sz w:val="19"/>
          <w:szCs w:val="19"/>
          <w:color w:val="auto"/>
        </w:rPr>
        <w:t>In order to realize the large-scale and highly-efficient development and production of shale oil and gas re-sources, it is necessary to carry out the research and ap-plication of related oil and gas production technology</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[31]</w:t>
      </w:r>
      <w:r>
        <w:rPr>
          <w:rFonts w:ascii="Times New Roman" w:cs="Times New Roman" w:eastAsia="Times New Roman" w:hAnsi="Times New Roman"/>
          <w:sz w:val="19"/>
          <w:szCs w:val="19"/>
          <w:color w:val="auto"/>
        </w:rPr>
        <w:t>. At present, there are still following weak points in deep shale oil well lifting at the depth more than 2500 m, pre-cise managed-pressure production of shale gas wells, and horizontal well drainage and gas production: (1) The low lifting capacity of shale oil wells is characterized by high wax content and gas-liquid ratio in the produced fluid, and severe off-center wear of the oil production pump, resulting in short pump inspection cycle (42% of that of conventional wells), and the depth of the pumping unit and electric submersible screw pump is less than 2500 m.</w:t>
      </w:r>
    </w:p>
    <w:p>
      <w:pPr>
        <w:spacing w:after="0" w:line="31" w:lineRule="exact"/>
        <w:rPr>
          <w:sz w:val="20"/>
          <w:szCs w:val="20"/>
          <w:color w:val="auto"/>
        </w:rPr>
      </w:pPr>
    </w:p>
    <w:p>
      <w:pPr>
        <w:jc w:val="both"/>
        <w:ind w:firstLine="4"/>
        <w:spacing w:after="0" w:line="284" w:lineRule="auto"/>
        <w:tabs>
          <w:tab w:leader="none" w:pos="317"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There is still potential in shale gas energy mainte-nance. At present, the pressure control accuracy of man-ual replacement nozzle is only 1/10 of that of electric nozzle, and the tubing running capacity under pressure is too low to support the tubing running directly after fracturing. A large amount of formation energy is con-sumed in the wellbore drainage, which inhibits the im-provement of the predicted ultimate recoverable reserves of a single well. (3) Horizontal well drainage and gas production is difficult, which shows that wellbore liquid level in 90% of shale gas wells is near the tubing shoe in the middle and late stage of development. The current drainage and production technology cannot clear away the liquid loading in the horizontal section, so that more than 40% of the remaining oil can be hardly produced.</w:t>
      </w:r>
    </w:p>
    <w:p>
      <w:pPr>
        <w:spacing w:after="0" w:line="380" w:lineRule="exact"/>
        <w:rPr>
          <w:sz w:val="20"/>
          <w:szCs w:val="20"/>
          <w:color w:val="auto"/>
        </w:rPr>
      </w:pPr>
    </w:p>
    <w:p>
      <w:pPr>
        <w:spacing w:after="0"/>
        <w:tabs>
          <w:tab w:leader="none" w:pos="480" w:val="left"/>
        </w:tabs>
        <w:rPr>
          <w:sz w:val="20"/>
          <w:szCs w:val="20"/>
          <w:color w:val="auto"/>
        </w:rPr>
      </w:pPr>
      <w:r>
        <w:rPr>
          <w:rFonts w:ascii="Times New Roman" w:cs="Times New Roman" w:eastAsia="Times New Roman" w:hAnsi="Times New Roman"/>
          <w:sz w:val="19"/>
          <w:szCs w:val="19"/>
          <w:b w:val="1"/>
          <w:bCs w:val="1"/>
          <w:color w:val="auto"/>
        </w:rPr>
        <w:t>2.6.</w:t>
        <w:tab/>
        <w:t>The casing deformation prevention technology</w:t>
      </w:r>
    </w:p>
    <w:p>
      <w:pPr>
        <w:spacing w:after="0" w:line="181" w:lineRule="exact"/>
        <w:rPr>
          <w:sz w:val="20"/>
          <w:szCs w:val="20"/>
          <w:color w:val="auto"/>
        </w:rPr>
      </w:pPr>
    </w:p>
    <w:p>
      <w:pPr>
        <w:jc w:val="both"/>
        <w:ind w:firstLine="193"/>
        <w:spacing w:after="0" w:line="272" w:lineRule="auto"/>
        <w:rPr>
          <w:sz w:val="20"/>
          <w:szCs w:val="20"/>
          <w:color w:val="auto"/>
        </w:rPr>
      </w:pPr>
      <w:r>
        <w:rPr>
          <w:rFonts w:ascii="Times New Roman" w:cs="Times New Roman" w:eastAsia="Times New Roman" w:hAnsi="Times New Roman"/>
          <w:sz w:val="19"/>
          <w:szCs w:val="19"/>
          <w:color w:val="auto"/>
        </w:rPr>
        <w:t>As the exploration and development of shale oil and gas develops to middle and deep intervals, the problem of casing deformation becomes more and more serious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[32]</w:t>
      </w:r>
      <w:r>
        <w:rPr>
          <w:rFonts w:ascii="Times New Roman" w:cs="Times New Roman" w:eastAsia="Times New Roman" w:hAnsi="Times New Roman"/>
          <w:sz w:val="19"/>
          <w:szCs w:val="19"/>
          <w:color w:val="auto"/>
        </w:rPr>
        <w:t>, making anti-deformation technology of casing an effec-tive means for domestic oil companies to reduce eco-nomic losses and ensure oil and gas production safety.</w:t>
      </w:r>
    </w:p>
    <w:p>
      <w:pPr>
        <w:spacing w:after="0" w:line="37" w:lineRule="exact"/>
        <w:rPr>
          <w:sz w:val="20"/>
          <w:szCs w:val="20"/>
          <w:color w:val="auto"/>
        </w:rPr>
      </w:pPr>
    </w:p>
    <w:p>
      <w:pPr>
        <w:jc w:val="both"/>
        <w:ind w:firstLine="193"/>
        <w:spacing w:after="0" w:line="283" w:lineRule="auto"/>
        <w:rPr>
          <w:sz w:val="20"/>
          <w:szCs w:val="20"/>
          <w:color w:val="auto"/>
        </w:rPr>
      </w:pPr>
      <w:r>
        <w:rPr>
          <w:rFonts w:ascii="Times New Roman" w:cs="Times New Roman" w:eastAsia="Times New Roman" w:hAnsi="Times New Roman"/>
          <w:sz w:val="19"/>
          <w:szCs w:val="19"/>
          <w:color w:val="auto"/>
        </w:rPr>
        <w:t>At present, there are still following weaknesses in cas-ing deformation prevention technology: (1) Deep shale gas wells face severe situations of casing deformation. For example, deep shale gas horizontal wells in Sichuan and Chongqing have serious casing damage, with a casing damage rate of 47.3%. The casing damage mechanism needs further study. (2) Casing deformation prevention technology is still being explored. For complex geological conditions and high-intensity stimulation environment, the adaptation of well completion technology and the</w:t>
      </w:r>
    </w:p>
    <w:p>
      <w:pPr>
        <w:spacing w:after="0" w:line="20" w:lineRule="exact"/>
        <w:rPr>
          <w:sz w:val="20"/>
          <w:szCs w:val="20"/>
          <w:color w:val="auto"/>
        </w:rPr>
      </w:pPr>
      <w:r>
        <w:rPr>
          <w:sz w:val="20"/>
          <w:szCs w:val="20"/>
          <w:color w:val="auto"/>
        </w:rPr>
        <w:br w:type="column"/>
      </w:r>
    </w:p>
    <w:p>
      <w:pPr>
        <w:spacing w:after="0" w:line="307" w:lineRule="exact"/>
        <w:rPr>
          <w:sz w:val="20"/>
          <w:szCs w:val="20"/>
          <w:color w:val="auto"/>
        </w:rPr>
      </w:pPr>
    </w:p>
    <w:p>
      <w:pPr>
        <w:jc w:val="both"/>
        <w:ind w:right="40"/>
        <w:spacing w:after="0" w:line="282" w:lineRule="auto"/>
        <w:rPr>
          <w:sz w:val="20"/>
          <w:szCs w:val="20"/>
          <w:color w:val="auto"/>
        </w:rPr>
      </w:pPr>
      <w:r>
        <w:rPr>
          <w:rFonts w:ascii="Times New Roman" w:cs="Times New Roman" w:eastAsia="Times New Roman" w:hAnsi="Times New Roman"/>
          <w:sz w:val="19"/>
          <w:szCs w:val="19"/>
          <w:color w:val="auto"/>
        </w:rPr>
        <w:t>material selection are still being explored. (3) Horizontal well casing deformation prevention technology has not been broken through. Conventional casing shaping technologies for reduced casing in vertical wells, such as explosion, extrusion and milling, as well as casing re-placement in breaking wells, expansion pipe patch tech-nology and other means are not applicable in horizontal wells. Due to the lack of effective wellbore repair methods for casing deformation in horizontal wells, it is urgent to strengthen the research of casing deformation prevention technology</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[33]</w:t>
      </w:r>
      <w:r>
        <w:rPr>
          <w:rFonts w:ascii="Times New Roman" w:cs="Times New Roman" w:eastAsia="Times New Roman" w:hAnsi="Times New Roman"/>
          <w:sz w:val="19"/>
          <w:szCs w:val="19"/>
          <w:color w:val="auto"/>
        </w:rPr>
        <w:t>.</w:t>
      </w:r>
    </w:p>
    <w:p>
      <w:pPr>
        <w:spacing w:after="0" w:line="358" w:lineRule="exact"/>
        <w:rPr>
          <w:sz w:val="20"/>
          <w:szCs w:val="20"/>
          <w:color w:val="auto"/>
        </w:rPr>
      </w:pPr>
    </w:p>
    <w:p>
      <w:pPr>
        <w:spacing w:after="0"/>
        <w:tabs>
          <w:tab w:leader="none" w:pos="440" w:val="left"/>
        </w:tabs>
        <w:rPr>
          <w:sz w:val="20"/>
          <w:szCs w:val="20"/>
          <w:color w:val="auto"/>
        </w:rPr>
      </w:pPr>
      <w:r>
        <w:rPr>
          <w:rFonts w:ascii="Times New Roman" w:cs="Times New Roman" w:eastAsia="Times New Roman" w:hAnsi="Times New Roman"/>
          <w:sz w:val="19"/>
          <w:szCs w:val="19"/>
          <w:b w:val="1"/>
          <w:bCs w:val="1"/>
          <w:color w:val="auto"/>
        </w:rPr>
        <w:t>2.7.</w:t>
        <w:tab/>
        <w:t>The wellbore maintenance technology</w:t>
      </w:r>
    </w:p>
    <w:p>
      <w:pPr>
        <w:spacing w:after="0" w:line="187" w:lineRule="exact"/>
        <w:rPr>
          <w:sz w:val="20"/>
          <w:szCs w:val="20"/>
          <w:color w:val="auto"/>
        </w:rPr>
      </w:pPr>
    </w:p>
    <w:p>
      <w:pPr>
        <w:jc w:val="both"/>
        <w:ind w:right="40" w:firstLine="193"/>
        <w:spacing w:after="0" w:line="283" w:lineRule="auto"/>
        <w:rPr>
          <w:sz w:val="20"/>
          <w:szCs w:val="20"/>
          <w:color w:val="auto"/>
        </w:rPr>
      </w:pPr>
      <w:r>
        <w:rPr>
          <w:rFonts w:ascii="Times New Roman" w:cs="Times New Roman" w:eastAsia="Times New Roman" w:hAnsi="Times New Roman"/>
          <w:sz w:val="19"/>
          <w:szCs w:val="19"/>
          <w:color w:val="auto"/>
        </w:rPr>
        <w:t>In 2021, CNPC put 18 480 horizontal wells into pro-duction, and shut down 1527 wells (1258 oil wells and 269 gas wells) for more than 180 d due to wellbore failures. Therefore, wellbore maintenance plays a very important role in ensuring shale oil and gas production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[34]</w:t>
      </w:r>
      <w:r>
        <w:rPr>
          <w:rFonts w:ascii="Times New Roman" w:cs="Times New Roman" w:eastAsia="Times New Roman" w:hAnsi="Times New Roman"/>
          <w:sz w:val="19"/>
          <w:szCs w:val="19"/>
          <w:color w:val="auto"/>
        </w:rPr>
        <w:t>.</w:t>
      </w:r>
    </w:p>
    <w:p>
      <w:pPr>
        <w:spacing w:after="0" w:line="1" w:lineRule="exact"/>
        <w:rPr>
          <w:sz w:val="20"/>
          <w:szCs w:val="20"/>
          <w:color w:val="auto"/>
        </w:rPr>
      </w:pPr>
    </w:p>
    <w:p>
      <w:pPr>
        <w:jc w:val="both"/>
        <w:ind w:firstLine="193"/>
        <w:spacing w:after="0" w:line="289" w:lineRule="auto"/>
        <w:rPr>
          <w:sz w:val="20"/>
          <w:szCs w:val="20"/>
          <w:color w:val="auto"/>
        </w:rPr>
      </w:pPr>
      <w:r>
        <w:rPr>
          <w:rFonts w:ascii="Times New Roman" w:cs="Times New Roman" w:eastAsia="Times New Roman" w:hAnsi="Times New Roman"/>
          <w:sz w:val="19"/>
          <w:szCs w:val="19"/>
          <w:color w:val="auto"/>
        </w:rPr>
        <w:t>At present, there are still following weaknesses in wellbore maintenance operations: (1) It is difficult to accurately describe the operation object, which shows insufficient information from the mark of regulus lead at horizontal section, unintuitive perception of multi-arm caliper and electromagnetic defect detection instrument, and no breakthrough in terms of quantitative analysis of visual images. (2) Water searching, water plugging, and water control technologies are not perfect. High water cut is the main factor for the sharp production decrease and even shut down of horizontal wells. At present, hor-izontal wells in Changqing Oilfield lose 1678 t of daily productivity and 3816×10</w:t>
      </w:r>
      <w:r>
        <w:rPr>
          <w:rFonts w:ascii="Times New Roman" w:cs="Times New Roman" w:eastAsia="Times New Roman" w:hAnsi="Times New Roman"/>
          <w:sz w:val="22"/>
          <w:szCs w:val="22"/>
          <w:color w:val="auto"/>
          <w:vertAlign w:val="superscript"/>
        </w:rPr>
        <w:t>4</w:t>
      </w:r>
      <w:r>
        <w:rPr>
          <w:rFonts w:ascii="Times New Roman" w:cs="Times New Roman" w:eastAsia="Times New Roman" w:hAnsi="Times New Roman"/>
          <w:sz w:val="19"/>
          <w:szCs w:val="19"/>
          <w:color w:val="auto"/>
        </w:rPr>
        <w:t xml:space="preserve"> t of controlled reserves due to high water cut. (3) Sand production and scaling of hori-zontal wells are serious, and sand flushing and scaling removal are difficult and inefficient. Besides, flushing fluid loss of low-pressure horizontal wells is serious, and sand flushing operations of conventional pipe string in the wells with horizontal section exceeding 2000 m are limited. In 2021, the average sand flushing time of a sin-gle well in Changqing Oilfield is 17.5 d, and the longest time can reach 28 d. The average water consumption of the well is 1271 m³, and the loss rate is 57.1%. (4) Complex breakdown maintenance technology needs to be broken through, which is specifically manifested as the un-matching of complex breakdown maintenance technolo-gies, such as unstuck, fishing and wellbore reconstruction, as well as the difficult operations.</w:t>
      </w:r>
    </w:p>
    <w:p>
      <w:pPr>
        <w:spacing w:after="0" w:line="374" w:lineRule="exact"/>
        <w:rPr>
          <w:sz w:val="20"/>
          <w:szCs w:val="20"/>
          <w:color w:val="auto"/>
        </w:rPr>
      </w:pPr>
    </w:p>
    <w:p>
      <w:pPr>
        <w:ind w:left="400" w:hanging="400"/>
        <w:spacing w:after="0"/>
        <w:tabs>
          <w:tab w:leader="none" w:pos="400" w:val="left"/>
        </w:tabs>
        <w:numPr>
          <w:ilvl w:val="0"/>
          <w:numId w:val="7"/>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Development directions and suggestions</w:t>
      </w:r>
    </w:p>
    <w:p>
      <w:pPr>
        <w:spacing w:after="0" w:line="182" w:lineRule="exact"/>
        <w:rPr>
          <w:sz w:val="20"/>
          <w:szCs w:val="20"/>
          <w:color w:val="auto"/>
        </w:rPr>
      </w:pPr>
    </w:p>
    <w:p>
      <w:pPr>
        <w:jc w:val="both"/>
        <w:ind w:right="40" w:firstLine="193"/>
        <w:spacing w:after="0" w:line="286" w:lineRule="auto"/>
        <w:rPr>
          <w:sz w:val="20"/>
          <w:szCs w:val="20"/>
          <w:color w:val="auto"/>
        </w:rPr>
      </w:pPr>
      <w:r>
        <w:rPr>
          <w:rFonts w:ascii="Times New Roman" w:cs="Times New Roman" w:eastAsia="Times New Roman" w:hAnsi="Times New Roman"/>
          <w:sz w:val="19"/>
          <w:szCs w:val="19"/>
          <w:color w:val="auto"/>
        </w:rPr>
        <w:t>In view of the shortcomings of shale oil and gas pro-duction technologies in China, “four major projects” have been proposed from macro and micro perspective to promote the large-scale productivity construction and highly efficient development of shale oil and gas re-</w:t>
      </w:r>
    </w:p>
    <w:p>
      <w:pPr>
        <w:spacing w:after="0" w:line="174" w:lineRule="exact"/>
        <w:rPr>
          <w:sz w:val="20"/>
          <w:szCs w:val="20"/>
          <w:color w:val="auto"/>
        </w:rPr>
      </w:pPr>
    </w:p>
    <w:p>
      <w:pPr>
        <w:sectPr>
          <w:pgSz w:w="11900" w:h="16840" w:orient="portrait"/>
          <w:cols w:equalWidth="0" w:num="2">
            <w:col w:w="4760" w:space="460"/>
            <w:col w:w="4800"/>
          </w:cols>
          <w:pgMar w:left="960" w:top="1015" w:right="924" w:bottom="411" w:gutter="0" w:footer="0" w:header="0"/>
          <w:type w:val="continuous"/>
        </w:sectPr>
      </w:pPr>
    </w:p>
    <w:p>
      <w:pPr>
        <w:jc w:val="center"/>
        <w:ind w:right="40"/>
        <w:spacing w:after="0"/>
        <w:rPr>
          <w:sz w:val="20"/>
          <w:szCs w:val="20"/>
          <w:color w:val="auto"/>
        </w:rPr>
      </w:pPr>
      <w:r>
        <w:rPr>
          <w:rFonts w:ascii="Times New Roman" w:cs="Times New Roman" w:eastAsia="Times New Roman" w:hAnsi="Times New Roman"/>
          <w:sz w:val="18"/>
          <w:szCs w:val="18"/>
          <w:color w:val="auto"/>
        </w:rPr>
        <w:t>950</w:t>
      </w:r>
    </w:p>
    <w:p>
      <w:pPr>
        <w:sectPr>
          <w:pgSz w:w="11900" w:h="16840" w:orient="portrait"/>
          <w:cols w:equalWidth="0" w:num="1">
            <w:col w:w="10020"/>
          </w:cols>
          <w:pgMar w:left="960" w:top="1015" w:right="924" w:bottom="411" w:gutter="0" w:footer="0" w:header="0"/>
          <w:type w:val="continuous"/>
        </w:sectPr>
      </w:pPr>
    </w:p>
    <w:bookmarkStart w:id="7" w:name="page8"/>
    <w:bookmarkEnd w:id="7"/>
    <w:p>
      <w:pPr>
        <w:jc w:val="center"/>
        <w:ind w:right="-159"/>
        <w:spacing w:after="0"/>
        <w:rPr>
          <w:sz w:val="20"/>
          <w:szCs w:val="20"/>
          <w:color w:val="auto"/>
        </w:rPr>
      </w:pPr>
      <w:r>
        <w:rPr>
          <w:rFonts w:ascii="Times New Roman" w:cs="Times New Roman" w:eastAsia="Times New Roman" w:hAnsi="Times New Roman"/>
          <w:sz w:val="16"/>
          <w:szCs w:val="16"/>
          <w:i w:val="1"/>
          <w:iCs w:val="1"/>
          <w:color w:val="auto"/>
        </w:rPr>
        <w:t>LEI Qun et al. / Petroleum Exploration and Development, 2023, 50(4): 944–954</w:t>
      </w:r>
    </w:p>
    <w:p>
      <w:pPr>
        <w:sectPr>
          <w:pgSz w:w="11900" w:h="16840" w:orient="portrait"/>
          <w:cols w:equalWidth="0" w:num="1">
            <w:col w:w="10020"/>
          </w:cols>
          <w:pgMar w:left="960" w:top="1015" w:right="924" w:bottom="411" w:gutter="0" w:footer="0" w:header="0"/>
        </w:sectPr>
      </w:pP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sources in China.</w:t>
      </w:r>
    </w:p>
    <w:p>
      <w:pPr>
        <w:spacing w:after="0" w:line="178" w:lineRule="exact"/>
        <w:rPr>
          <w:sz w:val="20"/>
          <w:szCs w:val="20"/>
          <w:color w:val="auto"/>
        </w:rPr>
      </w:pPr>
    </w:p>
    <w:p>
      <w:pPr>
        <w:jc w:val="both"/>
        <w:spacing w:after="0" w:line="259" w:lineRule="auto"/>
        <w:rPr>
          <w:sz w:val="20"/>
          <w:szCs w:val="20"/>
          <w:color w:val="auto"/>
        </w:rPr>
      </w:pPr>
      <w:r>
        <w:rPr>
          <w:rFonts w:ascii="Times New Roman" w:cs="Times New Roman" w:eastAsia="Times New Roman" w:hAnsi="Times New Roman"/>
          <w:sz w:val="19"/>
          <w:szCs w:val="19"/>
          <w:b w:val="1"/>
          <w:bCs w:val="1"/>
          <w:color w:val="auto"/>
        </w:rPr>
        <w:t>3.1. Strengthen the construction of basic innovation projects</w:t>
      </w:r>
    </w:p>
    <w:p>
      <w:pPr>
        <w:spacing w:after="0" w:line="158" w:lineRule="exact"/>
        <w:rPr>
          <w:sz w:val="20"/>
          <w:szCs w:val="20"/>
          <w:color w:val="auto"/>
        </w:rPr>
      </w:pPr>
    </w:p>
    <w:p>
      <w:pPr>
        <w:jc w:val="both"/>
        <w:ind w:firstLine="193"/>
        <w:spacing w:after="0" w:line="278" w:lineRule="auto"/>
        <w:rPr>
          <w:sz w:val="20"/>
          <w:szCs w:val="20"/>
          <w:color w:val="auto"/>
        </w:rPr>
      </w:pPr>
      <w:r>
        <w:rPr>
          <w:rFonts w:ascii="Times New Roman" w:cs="Times New Roman" w:eastAsia="Times New Roman" w:hAnsi="Times New Roman"/>
          <w:sz w:val="19"/>
          <w:szCs w:val="19"/>
          <w:color w:val="auto"/>
        </w:rPr>
        <w:t>Given the special characteristics of shale oil and gas, strengthening the mesoscopic researches on “hydrocar-bon generation mechanism of organic matter, evolution law of ground stress field, fluid flow regime and proppant transport mechanism”, and optimizing the design of well and fracture layout are extremely important to expand the scale of shale oil and gas and push forward with technological advances. Specific aspects include: (1) Se-lection of sweet spot sections. That is to select sweet spot sections based on organic matter maturity, formation burial depth, reservoir thickness, porosity and perme-ability condition, along with the qualities of hydrocarbon, reservoir, engineering and crude oil. (2) Study on flow regime of pore throats-fracture system. That is to reveal the multi-scale flow regime that fluid flows from micro-and nano-pore throats to hydraulic fracture, and to wellbore after shale reservoir fracturing, and clarify the relation between effective flow volume and production decline, based on three major problems of shale oil (gas), i.e. oil (gas) generation, oil (gas) storage and oil (gas) enrichment, along with theoretical analysis, laboratory study and numerical simulation, so as to provide theo-retical guidance for the co-optimization of well pat-tern/well spacing, stage/cluster spacing and stimulation scale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[35]</w:t>
      </w:r>
      <w:r>
        <w:rPr>
          <w:rFonts w:ascii="Times New Roman" w:cs="Times New Roman" w:eastAsia="Times New Roman" w:hAnsi="Times New Roman"/>
          <w:sz w:val="19"/>
          <w:szCs w:val="19"/>
          <w:color w:val="auto"/>
        </w:rPr>
        <w:t>. (3) Basic research on reservoir stimulation. That is to analyze fracture morphology based on the detailed characterization of the mechanical properties of thin interbeds, clarify the evolution law of four-dimensional ground stress field in the reservoir during the full-life cycle, and understand the propagation laws of multiple fractures between wells under the three-dimensional well pattern stimulation mode, and the propagation laws of three-dimensional fractures under the condition of the interaction of centimeter-level multiple beddings, so as to provide theoretical guidance for the target optimization and technology optimization of shale oil and gas. (4) Ba-sic study on oil and gas production. That is to develop the technologies for the lifting and production optimization, flow assurance, and wellbore integrity control of oil and gas wells under complicated well conditions, based on the relationship between the flow mechanism of forma-tion fluid and the wellbore lifting.</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right="480"/>
        <w:spacing w:after="0" w:line="259" w:lineRule="auto"/>
        <w:rPr>
          <w:sz w:val="20"/>
          <w:szCs w:val="20"/>
          <w:color w:val="auto"/>
        </w:rPr>
      </w:pPr>
      <w:r>
        <w:rPr>
          <w:rFonts w:ascii="Times New Roman" w:cs="Times New Roman" w:eastAsia="Times New Roman" w:hAnsi="Times New Roman"/>
          <w:sz w:val="19"/>
          <w:szCs w:val="19"/>
          <w:b w:val="1"/>
          <w:bCs w:val="1"/>
          <w:color w:val="auto"/>
        </w:rPr>
        <w:t>3.2. Strengthen the construction of exploitation technology projects</w:t>
      </w:r>
    </w:p>
    <w:p>
      <w:pPr>
        <w:spacing w:after="0" w:line="169" w:lineRule="exact"/>
        <w:rPr>
          <w:sz w:val="20"/>
          <w:szCs w:val="20"/>
          <w:color w:val="auto"/>
        </w:rPr>
      </w:pPr>
    </w:p>
    <w:p>
      <w:pPr>
        <w:jc w:val="both"/>
        <w:ind w:firstLine="193"/>
        <w:spacing w:after="0" w:line="273" w:lineRule="auto"/>
        <w:rPr>
          <w:sz w:val="20"/>
          <w:szCs w:val="20"/>
          <w:color w:val="auto"/>
        </w:rPr>
      </w:pPr>
      <w:r>
        <w:rPr>
          <w:rFonts w:ascii="Times New Roman" w:cs="Times New Roman" w:eastAsia="Times New Roman" w:hAnsi="Times New Roman"/>
          <w:sz w:val="19"/>
          <w:szCs w:val="19"/>
          <w:color w:val="auto"/>
        </w:rPr>
        <w:t>Strengthening the construction of shale oil and gas ex-ploitation technology projects involves both construction of stimulation projects, and construction of oil and gas production projects.</w:t>
      </w:r>
    </w:p>
    <w:p>
      <w:pPr>
        <w:spacing w:after="0" w:line="30" w:lineRule="exact"/>
        <w:rPr>
          <w:sz w:val="20"/>
          <w:szCs w:val="20"/>
          <w:color w:val="auto"/>
        </w:rPr>
      </w:pPr>
    </w:p>
    <w:p>
      <w:pPr>
        <w:jc w:val="both"/>
        <w:ind w:firstLine="193"/>
        <w:spacing w:after="0" w:line="264" w:lineRule="auto"/>
        <w:rPr>
          <w:sz w:val="20"/>
          <w:szCs w:val="20"/>
          <w:color w:val="auto"/>
        </w:rPr>
      </w:pPr>
      <w:r>
        <w:rPr>
          <w:rFonts w:ascii="Times New Roman" w:cs="Times New Roman" w:eastAsia="Times New Roman" w:hAnsi="Times New Roman"/>
          <w:sz w:val="19"/>
          <w:szCs w:val="19"/>
          <w:color w:val="auto"/>
        </w:rPr>
        <w:t>For stimulation projects, more efforts should be made at the mesoscopic-level, such as “fracture-controlling</w:t>
      </w:r>
    </w:p>
    <w:p>
      <w:pPr>
        <w:spacing w:after="0" w:line="20" w:lineRule="exact"/>
        <w:rPr>
          <w:sz w:val="20"/>
          <w:szCs w:val="20"/>
          <w:color w:val="auto"/>
        </w:rPr>
      </w:pPr>
      <w:r>
        <w:rPr>
          <w:sz w:val="20"/>
          <w:szCs w:val="20"/>
          <w:color w:val="auto"/>
        </w:rPr>
        <w:br w:type="column"/>
      </w:r>
    </w:p>
    <w:p>
      <w:pPr>
        <w:spacing w:after="0" w:line="308" w:lineRule="exact"/>
        <w:rPr>
          <w:sz w:val="20"/>
          <w:szCs w:val="20"/>
          <w:color w:val="auto"/>
        </w:rPr>
      </w:pPr>
    </w:p>
    <w:p>
      <w:pPr>
        <w:jc w:val="both"/>
        <w:spacing w:after="0" w:line="283" w:lineRule="auto"/>
        <w:rPr>
          <w:sz w:val="20"/>
          <w:szCs w:val="20"/>
          <w:color w:val="auto"/>
        </w:rPr>
      </w:pPr>
      <w:r>
        <w:rPr>
          <w:rFonts w:ascii="Times New Roman" w:cs="Times New Roman" w:eastAsia="Times New Roman" w:hAnsi="Times New Roman"/>
          <w:sz w:val="19"/>
          <w:szCs w:val="19"/>
          <w:color w:val="auto"/>
        </w:rPr>
        <w:t>fracturing optimization and design, upgrading of frac-turing software, intellectualization of fracturing equip-ment, improvement of packing tools, improvement of liquid performance, and expansion of quartz sand appli-cation scale”, so as to provide technical support for the stimulation of shale reservoirs. Specifically, this includes the following aspects. (1) Improve the fracture control stimulation technology, and form the optimal well spac-ing and optimal fracture spacing pattern for horizontal wells, so as to realize the maximum utilization of reserves.</w:t>
      </w:r>
    </w:p>
    <w:p>
      <w:pPr>
        <w:spacing w:after="0" w:line="22" w:lineRule="exact"/>
        <w:rPr>
          <w:sz w:val="20"/>
          <w:szCs w:val="20"/>
          <w:color w:val="auto"/>
        </w:rPr>
      </w:pPr>
    </w:p>
    <w:p>
      <w:pPr>
        <w:jc w:val="both"/>
        <w:spacing w:after="0" w:line="284" w:lineRule="auto"/>
        <w:tabs>
          <w:tab w:leader="none" w:pos="299"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Improve the performance of FrSmart fracturing soft-ware, strengthen the integrated platform, and improve the scientific nature of fracturing design. (3) Promote the intellectualization of fracturing equipment, develop fracturing blender truck metering and equipment auto-mation controlling, and improve the cooperation level of simultaneous fracturing in two wells. (4) Improve the performance of packing tools, promote the research and development of the drillable bridging plug and screw drill, and improve the supporting process and technology. (5) Improve the performance of fracturing fluid, the adapta-bility of slickwater, and the application ratio. (6) Select proppant materials, carry out application tests of 0.074 mm (200 mesh) quartz sand, and expand the application of quartz sand in reservoir deeper than 3500 m.</w:t>
      </w:r>
    </w:p>
    <w:p>
      <w:pPr>
        <w:spacing w:after="0" w:line="279" w:lineRule="exact"/>
        <w:rPr>
          <w:rFonts w:ascii="Times New Roman" w:cs="Times New Roman" w:eastAsia="Times New Roman" w:hAnsi="Times New Roman"/>
          <w:sz w:val="19"/>
          <w:szCs w:val="19"/>
          <w:color w:val="auto"/>
        </w:rPr>
      </w:pPr>
    </w:p>
    <w:p>
      <w:pPr>
        <w:jc w:val="both"/>
        <w:ind w:right="40" w:firstLine="193"/>
        <w:spacing w:after="0" w:line="28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In oil and gas production engineering, it is necessary to strengthen the joint development of oil production tech-nology and gas production technology. The development of oil production technology requires the following strategies: (1) Research on the lifting technology for the wells at the depth more than 2500 m, improve the com-prehensive wellbore governance technology, and acceler-ate the intelligent development of digital oil production.</w:t>
      </w:r>
    </w:p>
    <w:p>
      <w:pPr>
        <w:spacing w:after="0" w:line="26" w:lineRule="exact"/>
        <w:rPr>
          <w:rFonts w:ascii="Times New Roman" w:cs="Times New Roman" w:eastAsia="Times New Roman" w:hAnsi="Times New Roman"/>
          <w:sz w:val="19"/>
          <w:szCs w:val="19"/>
          <w:color w:val="auto"/>
        </w:rPr>
      </w:pPr>
    </w:p>
    <w:p>
      <w:pPr>
        <w:jc w:val="both"/>
        <w:ind w:right="40"/>
        <w:spacing w:after="0" w:line="281" w:lineRule="auto"/>
        <w:tabs>
          <w:tab w:leader="none" w:pos="276" w:val="left"/>
        </w:tabs>
        <w:numPr>
          <w:ilvl w:val="0"/>
          <w:numId w:val="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Develop the supporting lifting equipment for the wells at the depth more than 2500 m to develop multi-layer platform production technology. (3) Improve the har-nessing techniques of deep deviated well/high gas-liquid ratio/high wax content/off-center wear wellbore, and develop the harnessing techniques of shale oil wellbore.</w:t>
      </w:r>
    </w:p>
    <w:p>
      <w:pPr>
        <w:spacing w:after="0" w:line="24" w:lineRule="exact"/>
        <w:rPr>
          <w:rFonts w:ascii="Times New Roman" w:cs="Times New Roman" w:eastAsia="Times New Roman" w:hAnsi="Times New Roman"/>
          <w:sz w:val="19"/>
          <w:szCs w:val="19"/>
          <w:color w:val="auto"/>
        </w:rPr>
      </w:pPr>
    </w:p>
    <w:p>
      <w:pPr>
        <w:jc w:val="both"/>
        <w:ind w:right="40"/>
        <w:spacing w:after="0" w:line="278" w:lineRule="auto"/>
        <w:tabs>
          <w:tab w:leader="none" w:pos="365"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Promote digital metering and intelligent control technology for shale oil platform wells to achieve auto-matic metering and control. The development of gas production technology requires the following strategies:</w:t>
      </w:r>
    </w:p>
    <w:p>
      <w:pPr>
        <w:spacing w:after="0" w:line="26" w:lineRule="exact"/>
        <w:rPr>
          <w:rFonts w:ascii="Times New Roman" w:cs="Times New Roman" w:eastAsia="Times New Roman" w:hAnsi="Times New Roman"/>
          <w:sz w:val="19"/>
          <w:szCs w:val="19"/>
          <w:color w:val="auto"/>
        </w:rPr>
      </w:pPr>
    </w:p>
    <w:p>
      <w:pPr>
        <w:jc w:val="both"/>
        <w:spacing w:after="0" w:line="283" w:lineRule="auto"/>
        <w:tabs>
          <w:tab w:leader="none" w:pos="307"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Strengthen technical research and development on shale gas tubing running timing, horizontal interval drainage and gas production, etc. to ensure the ability of gas wells to produce continuously and steadily. (2) Ac-celerate the localization of electric nozzle, tackle key methods of fine pressure control, and prepare the tech-nical specifications of fine pressure control. (3) Improve the full-life cycle energy maintenance technology, im-prove the operation capacity under pressure, and apply jet pump, gas lift and other external forces for efficient liquid drainage, thus improve oil and gas recovery factors.</w:t>
      </w:r>
    </w:p>
    <w:p>
      <w:pPr>
        <w:spacing w:after="0" w:line="119" w:lineRule="exact"/>
        <w:rPr>
          <w:sz w:val="20"/>
          <w:szCs w:val="20"/>
          <w:color w:val="auto"/>
        </w:rPr>
      </w:pPr>
    </w:p>
    <w:p>
      <w:pPr>
        <w:sectPr>
          <w:pgSz w:w="11900" w:h="16840" w:orient="portrait"/>
          <w:cols w:equalWidth="0" w:num="2">
            <w:col w:w="4760" w:space="460"/>
            <w:col w:w="4800"/>
          </w:cols>
          <w:pgMar w:left="960" w:top="1015" w:right="924" w:bottom="411" w:gutter="0" w:footer="0" w:header="0"/>
          <w:type w:val="continuous"/>
        </w:sectPr>
      </w:pPr>
    </w:p>
    <w:p>
      <w:pPr>
        <w:jc w:val="center"/>
        <w:ind w:right="40"/>
        <w:spacing w:after="0"/>
        <w:rPr>
          <w:sz w:val="20"/>
          <w:szCs w:val="20"/>
          <w:color w:val="auto"/>
        </w:rPr>
      </w:pPr>
      <w:r>
        <w:rPr>
          <w:rFonts w:ascii="Times New Roman" w:cs="Times New Roman" w:eastAsia="Times New Roman" w:hAnsi="Times New Roman"/>
          <w:sz w:val="18"/>
          <w:szCs w:val="18"/>
          <w:color w:val="auto"/>
        </w:rPr>
        <w:t>951</w:t>
      </w:r>
    </w:p>
    <w:p>
      <w:pPr>
        <w:sectPr>
          <w:pgSz w:w="11900" w:h="16840" w:orient="portrait"/>
          <w:cols w:equalWidth="0" w:num="1">
            <w:col w:w="10020"/>
          </w:cols>
          <w:pgMar w:left="960" w:top="1015" w:right="924" w:bottom="411" w:gutter="0" w:footer="0" w:header="0"/>
          <w:type w:val="continuous"/>
        </w:sectPr>
      </w:pPr>
    </w:p>
    <w:bookmarkStart w:id="8" w:name="page9"/>
    <w:bookmarkEnd w:id="8"/>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LEI Qun et al. / Petroleum Exploration and Development, 2023, 50(4): 944–954</w:t>
      </w:r>
    </w:p>
    <w:p>
      <w:pPr>
        <w:sectPr>
          <w:pgSz w:w="11900" w:h="16840" w:orient="portrait"/>
          <w:cols w:equalWidth="0" w:num="1">
            <w:col w:w="9980"/>
          </w:cols>
          <w:pgMar w:left="960" w:top="1015" w:right="964" w:bottom="411" w:gutter="0" w:footer="0" w:header="0"/>
        </w:sectPr>
      </w:pPr>
    </w:p>
    <w:p>
      <w:pPr>
        <w:spacing w:after="0" w:line="328" w:lineRule="exact"/>
        <w:rPr>
          <w:sz w:val="20"/>
          <w:szCs w:val="20"/>
          <w:color w:val="auto"/>
        </w:rPr>
      </w:pPr>
    </w:p>
    <w:p>
      <w:pPr>
        <w:jc w:val="both"/>
        <w:ind w:right="20" w:firstLine="4"/>
        <w:spacing w:after="0" w:line="278" w:lineRule="auto"/>
        <w:tabs>
          <w:tab w:leader="none" w:pos="303"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Tackle technologies such as plugging prevention and liquid loading removal in horizontal tubing shoes to en-sure the sustainable and stable production of shale gas in the middle and late stages.</w:t>
      </w:r>
    </w:p>
    <w:p>
      <w:pPr>
        <w:spacing w:after="0" w:line="144" w:lineRule="exact"/>
        <w:rPr>
          <w:sz w:val="20"/>
          <w:szCs w:val="20"/>
          <w:color w:val="auto"/>
        </w:rPr>
      </w:pPr>
    </w:p>
    <w:p>
      <w:pPr>
        <w:ind w:right="820"/>
        <w:spacing w:after="0" w:line="260" w:lineRule="auto"/>
        <w:rPr>
          <w:sz w:val="20"/>
          <w:szCs w:val="20"/>
          <w:color w:val="auto"/>
        </w:rPr>
      </w:pPr>
      <w:r>
        <w:rPr>
          <w:rFonts w:ascii="Times New Roman" w:cs="Times New Roman" w:eastAsia="Times New Roman" w:hAnsi="Times New Roman"/>
          <w:sz w:val="19"/>
          <w:szCs w:val="19"/>
          <w:b w:val="1"/>
          <w:bCs w:val="1"/>
          <w:color w:val="auto"/>
        </w:rPr>
        <w:t>3.3. Improve the construction of oil and gas production stabilization projects</w:t>
      </w:r>
    </w:p>
    <w:p>
      <w:pPr>
        <w:spacing w:after="0" w:line="159" w:lineRule="exact"/>
        <w:rPr>
          <w:sz w:val="20"/>
          <w:szCs w:val="20"/>
          <w:color w:val="auto"/>
        </w:rPr>
      </w:pPr>
    </w:p>
    <w:p>
      <w:pPr>
        <w:jc w:val="both"/>
        <w:ind w:firstLine="193"/>
        <w:spacing w:after="0" w:line="278" w:lineRule="auto"/>
        <w:rPr>
          <w:sz w:val="20"/>
          <w:szCs w:val="20"/>
          <w:color w:val="auto"/>
        </w:rPr>
      </w:pPr>
      <w:r>
        <w:rPr>
          <w:rFonts w:ascii="Times New Roman" w:cs="Times New Roman" w:eastAsia="Times New Roman" w:hAnsi="Times New Roman"/>
          <w:sz w:val="19"/>
          <w:szCs w:val="19"/>
          <w:color w:val="auto"/>
        </w:rPr>
        <w:t>Carrying out diagnostic technology research before fracturing in mature areas, such as “residual oil and gas characterization, ground stress field analysis, previous fracturing evaluation, refractured formation selection, and refracturing timing determination” can provide a theoretical and technical basis for repeated potential tapping of shale oil and gas horizontal wells. In addition, focusing on wellbore reconstruction technologies, such as horizontal well expansion pipe patch technology and small casing cementing technology can provide support for accurate implementation of refracturing</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[36]</w:t>
      </w:r>
      <w:r>
        <w:rPr>
          <w:rFonts w:ascii="Times New Roman" w:cs="Times New Roman" w:eastAsia="Times New Roman" w:hAnsi="Times New Roman"/>
          <w:sz w:val="19"/>
          <w:szCs w:val="19"/>
          <w:color w:val="auto"/>
        </w:rPr>
        <w:t>. Shale oil and gas production stabilization projects include: (1) Residual oil distribution characterization. Finely re-charac-terize the distribution of residual resource of single sand body, so as to select potential well formation. (2) Stress field simulation analysis, that is, analyzing ground stress field evolution laws via rock mechanics physical model experiment and numerical simulation, so as to optimize the refracturing plan. (3) Well selection and timing for re-fracturing. Analyzing the variation pattern of pressure field and seepage field, and determine well selection conditions and timing for refracturing. (4) Expansion pipe patch technology. Carrying out research on high-strength expansion pipes and horizontal expansion tools and increasing the length of continuous patching. (5) Small casing secondary cementing, that is, strengthening the breakthrough and field test of gel plugging and loss con-trol technology for the large-scale fracture and narrow gap annulus cementing technology to increase production.</w:t>
      </w:r>
    </w:p>
    <w:p>
      <w:pPr>
        <w:spacing w:after="0" w:line="298" w:lineRule="exact"/>
        <w:rPr>
          <w:sz w:val="20"/>
          <w:szCs w:val="20"/>
          <w:color w:val="auto"/>
        </w:rPr>
      </w:pPr>
    </w:p>
    <w:p>
      <w:pPr>
        <w:jc w:val="both"/>
        <w:ind w:right="20" w:firstLine="193"/>
        <w:spacing w:after="0" w:line="273" w:lineRule="auto"/>
        <w:rPr>
          <w:sz w:val="20"/>
          <w:szCs w:val="20"/>
          <w:color w:val="auto"/>
        </w:rPr>
      </w:pPr>
      <w:r>
        <w:rPr>
          <w:rFonts w:ascii="Times New Roman" w:cs="Times New Roman" w:eastAsia="Times New Roman" w:hAnsi="Times New Roman"/>
          <w:sz w:val="19"/>
          <w:szCs w:val="19"/>
          <w:color w:val="auto"/>
        </w:rPr>
        <w:t>In order to ensure long horizontal intervals, the work-over and supporting operation techniques for the hori-zontal wells with long interval (above 1500 m) need to be tackled urgently</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[37]</w:t>
      </w:r>
      <w:r>
        <w:rPr>
          <w:rFonts w:ascii="Times New Roman" w:cs="Times New Roman" w:eastAsia="Times New Roman" w:hAnsi="Times New Roman"/>
          <w:sz w:val="19"/>
          <w:szCs w:val="19"/>
          <w:color w:val="auto"/>
        </w:rPr>
        <w:t>. Specifically, these include: (1) Visual comprehensive detection technology for horizontal wells, that is, tackling visual comprehensive detection tools and supporting operation technology, and solving the prob-lem of accurate description of workover objects. (2) Wellbore cleaning technology of low pressure and long horizontal wells. Tackling the key sand flushing operation technology for horizontal wells with long horizontal sec-tion and low-pressure circulation loss, and improve the wellbore cleaning ability. (3) Electric cutting unfreezing and fishing technology. Improving the efficient electric cutting tools, and upgrading unfreezing and fishing tools of horizontal wells.</w:t>
      </w:r>
    </w:p>
    <w:p>
      <w:pPr>
        <w:spacing w:after="0" w:line="393" w:lineRule="exact"/>
        <w:rPr>
          <w:sz w:val="20"/>
          <w:szCs w:val="20"/>
          <w:color w:val="auto"/>
        </w:rPr>
      </w:pPr>
    </w:p>
    <w:p>
      <w:pPr>
        <w:spacing w:after="0"/>
        <w:tabs>
          <w:tab w:leader="none" w:pos="440" w:val="left"/>
        </w:tabs>
        <w:rPr>
          <w:sz w:val="20"/>
          <w:szCs w:val="20"/>
          <w:color w:val="auto"/>
        </w:rPr>
      </w:pPr>
      <w:r>
        <w:rPr>
          <w:rFonts w:ascii="Times New Roman" w:cs="Times New Roman" w:eastAsia="Times New Roman" w:hAnsi="Times New Roman"/>
          <w:sz w:val="19"/>
          <w:szCs w:val="19"/>
          <w:b w:val="1"/>
          <w:bCs w:val="1"/>
          <w:color w:val="auto"/>
        </w:rPr>
        <w:t>3.4.</w:t>
      </w:r>
      <w:r>
        <w:rPr>
          <w:sz w:val="20"/>
          <w:szCs w:val="20"/>
          <w:color w:val="auto"/>
        </w:rPr>
        <w:tab/>
      </w:r>
      <w:r>
        <w:rPr>
          <w:rFonts w:ascii="Times New Roman" w:cs="Times New Roman" w:eastAsia="Times New Roman" w:hAnsi="Times New Roman"/>
          <w:sz w:val="18"/>
          <w:szCs w:val="18"/>
          <w:b w:val="1"/>
          <w:bCs w:val="1"/>
          <w:color w:val="auto"/>
        </w:rPr>
        <w:t>Promote supporting efficiency-improvement projects</w:t>
      </w:r>
    </w:p>
    <w:p>
      <w:pPr>
        <w:spacing w:after="0" w:line="16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Efforts should be made to build up the "FracFocus"</w:t>
      </w:r>
    </w:p>
    <w:p>
      <w:pPr>
        <w:spacing w:after="0" w:line="20" w:lineRule="exact"/>
        <w:rPr>
          <w:sz w:val="20"/>
          <w:szCs w:val="20"/>
          <w:color w:val="auto"/>
        </w:rPr>
      </w:pPr>
      <w:r>
        <w:rPr>
          <w:sz w:val="20"/>
          <w:szCs w:val="20"/>
          <w:color w:val="auto"/>
        </w:rPr>
        <w:br w:type="column"/>
      </w:r>
    </w:p>
    <w:p>
      <w:pPr>
        <w:spacing w:after="0" w:line="307" w:lineRule="exact"/>
        <w:rPr>
          <w:sz w:val="20"/>
          <w:szCs w:val="20"/>
          <w:color w:val="auto"/>
        </w:rPr>
      </w:pPr>
    </w:p>
    <w:p>
      <w:pPr>
        <w:jc w:val="both"/>
        <w:spacing w:after="0" w:line="282" w:lineRule="auto"/>
        <w:rPr>
          <w:sz w:val="20"/>
          <w:szCs w:val="20"/>
          <w:color w:val="auto"/>
        </w:rPr>
      </w:pPr>
      <w:r>
        <w:rPr>
          <w:rFonts w:ascii="Times New Roman" w:cs="Times New Roman" w:eastAsia="Times New Roman" w:hAnsi="Times New Roman"/>
          <w:sz w:val="19"/>
          <w:szCs w:val="19"/>
          <w:color w:val="auto"/>
        </w:rPr>
        <w:t>platform with Chinese characteristics, and empower arti-ficial intelligence to multiple links of reservoir informa-tion and outflow status, perforation information and downhole tool status, tubing and casing information and wellbore lift status, and downhole material information and operation status, through the Internet of Things, to build a new pattern of intelligent production technology system. Efforts in digitization and information construc-tion of reservoir, wellbore and surface can help improve the quality and efficiency of shale oil and gas develop-ment</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perscript"/>
        </w:rPr>
        <w:t>[38]</w:t>
      </w:r>
      <w:r>
        <w:rPr>
          <w:rFonts w:ascii="Times New Roman" w:cs="Times New Roman" w:eastAsia="Times New Roman" w:hAnsi="Times New Roman"/>
          <w:sz w:val="19"/>
          <w:szCs w:val="19"/>
          <w:color w:val="auto"/>
        </w:rPr>
        <w:t>. To facilitate the digital transformation of pro-duction technologies, the following measures are neces-sary. (1) Digital transformation and intelligent develop-ment of reservoir stimulation, that is, accelerating the construction of remote decision-making center in China, promoting resource sharing, gradually realizing the Internet of Things (IoT) control of each stage of fractur-ing, and building a system that can conduct intelligent reservoir stimulation design and implement decision making. (2) Intelligent development of oil production technology. Control the outflow of oil, wellbore lifting, production on the surface, digital metering, etc. via the IoT, so as to develop intelligent oil production technology.</w:t>
      </w:r>
    </w:p>
    <w:p>
      <w:pPr>
        <w:spacing w:after="0" w:line="291" w:lineRule="exact"/>
        <w:rPr>
          <w:sz w:val="20"/>
          <w:szCs w:val="20"/>
          <w:color w:val="auto"/>
        </w:rPr>
      </w:pPr>
    </w:p>
    <w:p>
      <w:pPr>
        <w:jc w:val="both"/>
        <w:spacing w:after="0" w:line="278" w:lineRule="auto"/>
        <w:tabs>
          <w:tab w:leader="none" w:pos="319" w:val="left"/>
        </w:tabs>
        <w:numPr>
          <w:ilvl w:val="0"/>
          <w:numId w:val="1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Development of intelligent gas well diagnosis tech-nology for gas production, to evaluate the working con-ditions, such as wellbore flow in gas reservoirs, liquid loading and gas collection on the surface.</w:t>
      </w:r>
    </w:p>
    <w:p>
      <w:pPr>
        <w:spacing w:after="0" w:line="99" w:lineRule="exact"/>
        <w:rPr>
          <w:sz w:val="20"/>
          <w:szCs w:val="20"/>
          <w:color w:val="auto"/>
        </w:rPr>
      </w:pPr>
    </w:p>
    <w:p>
      <w:pPr>
        <w:ind w:left="400" w:hanging="400"/>
        <w:spacing w:after="0"/>
        <w:tabs>
          <w:tab w:leader="none" w:pos="400" w:val="left"/>
        </w:tabs>
        <w:numPr>
          <w:ilvl w:val="0"/>
          <w:numId w:val="14"/>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Conclusions</w:t>
      </w:r>
    </w:p>
    <w:p>
      <w:pPr>
        <w:spacing w:after="0" w:line="177" w:lineRule="exact"/>
        <w:rPr>
          <w:sz w:val="20"/>
          <w:szCs w:val="20"/>
          <w:color w:val="auto"/>
        </w:rPr>
      </w:pPr>
    </w:p>
    <w:p>
      <w:pPr>
        <w:jc w:val="both"/>
        <w:ind w:firstLine="193"/>
        <w:spacing w:after="0" w:line="285" w:lineRule="auto"/>
        <w:rPr>
          <w:sz w:val="20"/>
          <w:szCs w:val="20"/>
          <w:color w:val="auto"/>
        </w:rPr>
      </w:pPr>
      <w:r>
        <w:rPr>
          <w:rFonts w:ascii="Times New Roman" w:cs="Times New Roman" w:eastAsia="Times New Roman" w:hAnsi="Times New Roman"/>
          <w:sz w:val="19"/>
          <w:szCs w:val="19"/>
          <w:color w:val="auto"/>
        </w:rPr>
        <w:t>Shale reservoirs are more difficult to develop because of their harsher geological and engineering factors than those of conventional reservoirs. Inspired by the shale oil and gas revolution in the United States, after years of development, China has built up a horizontal well “dense cutting” fracturing technology system that can basically meet the demand of “fracture-controlled reserves” of shale reservoirs, providing technical support for the effi-cient development of shale oil and gas fields in Sichuan and Chongqing region, Ordos Basin, Songliao Basin, etc. However, there is still a big gap between China and the United States in reservoir stimulation and production technology of shale oil and gas. Therefore, it is necessary to deepen the understanding of basic laws, tackle the “bottleneck” technology of oil and gas stimulation, carry out on-site fracturing and production tests, and develop the technologies supporting oil and gas development. At the same time, efforts should be made to strengthen the construction of innovation projects, promote the digital transformation of production technology, and build a new pattern of intelligent development. This is of great significance to promote the rapid, efficient, stable, green and scale development of shale oil and gas industry chain and innovation chain, so as to achieve the goal of “oil volume stabilizing and gas volume increasing”.</w:t>
      </w:r>
    </w:p>
    <w:p>
      <w:pPr>
        <w:spacing w:after="0" w:line="383" w:lineRule="exact"/>
        <w:rPr>
          <w:sz w:val="20"/>
          <w:szCs w:val="20"/>
          <w:color w:val="auto"/>
        </w:rPr>
      </w:pPr>
    </w:p>
    <w:p>
      <w:pPr>
        <w:sectPr>
          <w:pgSz w:w="11900" w:h="16840" w:orient="portrait"/>
          <w:cols w:equalWidth="0" w:num="2">
            <w:col w:w="4780" w:space="440"/>
            <w:col w:w="4760"/>
          </w:cols>
          <w:pgMar w:left="960" w:top="1015" w:right="964" w:bottom="411" w:gutter="0" w:footer="0" w:header="0"/>
          <w:type w:val="continuous"/>
        </w:sectPr>
      </w:pPr>
    </w:p>
    <w:p>
      <w:pPr>
        <w:jc w:val="center"/>
        <w:spacing w:after="0"/>
        <w:rPr>
          <w:sz w:val="20"/>
          <w:szCs w:val="20"/>
          <w:color w:val="auto"/>
        </w:rPr>
      </w:pPr>
      <w:r>
        <w:rPr>
          <w:rFonts w:ascii="Times New Roman" w:cs="Times New Roman" w:eastAsia="Times New Roman" w:hAnsi="Times New Roman"/>
          <w:sz w:val="18"/>
          <w:szCs w:val="18"/>
          <w:color w:val="auto"/>
        </w:rPr>
        <w:t>952</w:t>
      </w:r>
    </w:p>
    <w:p>
      <w:pPr>
        <w:sectPr>
          <w:pgSz w:w="11900" w:h="16840" w:orient="portrait"/>
          <w:cols w:equalWidth="0" w:num="1">
            <w:col w:w="9980"/>
          </w:cols>
          <w:pgMar w:left="960" w:top="1015" w:right="964" w:bottom="411" w:gutter="0" w:footer="0" w:header="0"/>
          <w:type w:val="continuous"/>
        </w:sectPr>
      </w:pPr>
    </w:p>
    <w:bookmarkStart w:id="9" w:name="page10"/>
    <w:bookmarkEnd w:id="9"/>
    <w:p>
      <w:pPr>
        <w:jc w:val="center"/>
        <w:ind w:right="-199"/>
        <w:spacing w:after="0"/>
        <w:rPr>
          <w:sz w:val="20"/>
          <w:szCs w:val="20"/>
          <w:color w:val="auto"/>
        </w:rPr>
      </w:pPr>
      <w:r>
        <w:rPr>
          <w:rFonts w:ascii="Times New Roman" w:cs="Times New Roman" w:eastAsia="Times New Roman" w:hAnsi="Times New Roman"/>
          <w:sz w:val="16"/>
          <w:szCs w:val="16"/>
          <w:i w:val="1"/>
          <w:iCs w:val="1"/>
          <w:color w:val="auto"/>
        </w:rPr>
        <w:t>LEI Qun et al. / Petroleum Exploration and Development, 2023, 50(4): 944–954</w:t>
      </w:r>
    </w:p>
    <w:p>
      <w:pPr>
        <w:sectPr>
          <w:pgSz w:w="11900" w:h="16840" w:orient="portrait"/>
          <w:cols w:equalWidth="0" w:num="1">
            <w:col w:w="9980"/>
          </w:cols>
          <w:pgMar w:left="960" w:top="1015" w:right="964" w:bottom="411" w:gutter="0" w:footer="0" w:header="0"/>
        </w:sectPr>
      </w:pP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References</w:t>
      </w:r>
    </w:p>
    <w:p>
      <w:pPr>
        <w:spacing w:after="0" w:line="334" w:lineRule="exact"/>
        <w:rPr>
          <w:sz w:val="20"/>
          <w:szCs w:val="20"/>
          <w:color w:val="auto"/>
        </w:rPr>
      </w:pPr>
    </w:p>
    <w:p>
      <w:pPr>
        <w:jc w:val="both"/>
        <w:ind w:left="480" w:right="520" w:hanging="414"/>
        <w:spacing w:after="0" w:line="311" w:lineRule="auto"/>
        <w:tabs>
          <w:tab w:leader="none" w:pos="479"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LEI Qun, WANG Hongyan, ZHAO Qun, et al. Status analysis and advices on exploration and development of unconventional hydrocarbon resources. Natural Gas In-dustry, 2008, 28(12): 7–10.</w:t>
      </w:r>
    </w:p>
    <w:p>
      <w:pPr>
        <w:spacing w:after="0" w:line="27" w:lineRule="exact"/>
        <w:rPr>
          <w:rFonts w:ascii="Times New Roman" w:cs="Times New Roman" w:eastAsia="Times New Roman" w:hAnsi="Times New Roman"/>
          <w:sz w:val="17"/>
          <w:szCs w:val="17"/>
          <w:color w:val="auto"/>
        </w:rPr>
      </w:pPr>
    </w:p>
    <w:p>
      <w:pPr>
        <w:jc w:val="both"/>
        <w:ind w:left="480" w:right="520" w:hanging="414"/>
        <w:spacing w:after="0" w:line="311" w:lineRule="auto"/>
        <w:tabs>
          <w:tab w:leader="none" w:pos="480"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WU Qi, XU Yun, LIU Yuzhang, et al. The current situation of stimulated reservoir volume for shale in U.S. and its inspiration to China. Oil Drilling &amp; Production Technol-ogy, 2011, 33(2): 1–7.</w:t>
      </w:r>
    </w:p>
    <w:p>
      <w:pPr>
        <w:spacing w:after="0" w:line="25" w:lineRule="exact"/>
        <w:rPr>
          <w:rFonts w:ascii="Times New Roman" w:cs="Times New Roman" w:eastAsia="Times New Roman" w:hAnsi="Times New Roman"/>
          <w:sz w:val="17"/>
          <w:szCs w:val="17"/>
          <w:color w:val="auto"/>
        </w:rPr>
      </w:pPr>
    </w:p>
    <w:p>
      <w:pPr>
        <w:jc w:val="both"/>
        <w:ind w:left="480" w:right="520" w:hanging="414"/>
        <w:spacing w:after="0" w:line="311" w:lineRule="auto"/>
        <w:tabs>
          <w:tab w:leader="none" w:pos="480"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LEI Qun, XU Yun, CAI Bo, et al. Progress and prospects of horizontal well fracturing technology for shale oil and gas reservoirs. Petroleum Exploration and Development, 2022, 49(1): 166–172.</w:t>
      </w:r>
    </w:p>
    <w:p>
      <w:pPr>
        <w:spacing w:after="0" w:line="27" w:lineRule="exact"/>
        <w:rPr>
          <w:rFonts w:ascii="Times New Roman" w:cs="Times New Roman" w:eastAsia="Times New Roman" w:hAnsi="Times New Roman"/>
          <w:sz w:val="17"/>
          <w:szCs w:val="17"/>
          <w:color w:val="auto"/>
        </w:rPr>
      </w:pPr>
    </w:p>
    <w:p>
      <w:pPr>
        <w:jc w:val="both"/>
        <w:ind w:left="480" w:right="520" w:hanging="414"/>
        <w:spacing w:after="0" w:line="307" w:lineRule="auto"/>
        <w:tabs>
          <w:tab w:leader="none" w:pos="480"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ZOU Caineng, PAN Songqi, JING Zhenhua, et al. Shale oil and gas revolution and its impact. Acta Petrolei Sinica, 2020, 41(1): 1–12.</w:t>
      </w:r>
    </w:p>
    <w:p>
      <w:pPr>
        <w:spacing w:after="0" w:line="29" w:lineRule="exact"/>
        <w:rPr>
          <w:rFonts w:ascii="Times New Roman" w:cs="Times New Roman" w:eastAsia="Times New Roman" w:hAnsi="Times New Roman"/>
          <w:sz w:val="17"/>
          <w:szCs w:val="17"/>
          <w:color w:val="auto"/>
        </w:rPr>
      </w:pPr>
    </w:p>
    <w:p>
      <w:pPr>
        <w:jc w:val="both"/>
        <w:ind w:left="480" w:right="520" w:hanging="414"/>
        <w:spacing w:after="0" w:line="311" w:lineRule="auto"/>
        <w:tabs>
          <w:tab w:leader="none" w:pos="479"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LEI Qun, WENG Dingwei, LUO Jianhui, et al. Achieve-ments and future work of oil and gas production engi-neering of CNPC. Petroleum Exploration and Develop-ment, 2019, 46(1): 139–145.</w:t>
      </w:r>
    </w:p>
    <w:p>
      <w:pPr>
        <w:spacing w:after="0" w:line="27" w:lineRule="exact"/>
        <w:rPr>
          <w:rFonts w:ascii="Times New Roman" w:cs="Times New Roman" w:eastAsia="Times New Roman" w:hAnsi="Times New Roman"/>
          <w:sz w:val="17"/>
          <w:szCs w:val="17"/>
          <w:color w:val="auto"/>
        </w:rPr>
      </w:pPr>
    </w:p>
    <w:p>
      <w:pPr>
        <w:jc w:val="both"/>
        <w:ind w:left="480" w:right="520" w:hanging="414"/>
        <w:spacing w:after="0" w:line="311" w:lineRule="auto"/>
        <w:tabs>
          <w:tab w:leader="none" w:pos="480"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TIAN Hua, ZHANG Shuichang, LIU Shaobo, et al. The dual influence of shale composition and pore size on ad-sorption gas storage mechanism of organic-rich shale. Natural Gas Geoscience, 2016, 27(3): 494–502.</w:t>
      </w:r>
    </w:p>
    <w:p>
      <w:pPr>
        <w:spacing w:after="0" w:line="25" w:lineRule="exact"/>
        <w:rPr>
          <w:rFonts w:ascii="Times New Roman" w:cs="Times New Roman" w:eastAsia="Times New Roman" w:hAnsi="Times New Roman"/>
          <w:sz w:val="17"/>
          <w:szCs w:val="17"/>
          <w:color w:val="auto"/>
        </w:rPr>
      </w:pPr>
    </w:p>
    <w:p>
      <w:pPr>
        <w:jc w:val="both"/>
        <w:ind w:left="480" w:right="520" w:hanging="414"/>
        <w:spacing w:after="0" w:line="320" w:lineRule="auto"/>
        <w:tabs>
          <w:tab w:leader="none" w:pos="480"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HUANG Rui, CHEN Junbin, WANG Jiabu, et al. Multi-phase coupling methane adsorption model with water sensitivity for shale clay. Special Oil &amp; Gas Reser-voirs, 2019, 26(5): 92–99.</w:t>
      </w:r>
    </w:p>
    <w:p>
      <w:pPr>
        <w:spacing w:after="0" w:line="258" w:lineRule="exact"/>
        <w:rPr>
          <w:rFonts w:ascii="Times New Roman" w:cs="Times New Roman" w:eastAsia="Times New Roman" w:hAnsi="Times New Roman"/>
          <w:sz w:val="17"/>
          <w:szCs w:val="17"/>
          <w:color w:val="auto"/>
        </w:rPr>
      </w:pPr>
    </w:p>
    <w:p>
      <w:pPr>
        <w:jc w:val="both"/>
        <w:ind w:left="480" w:right="520" w:hanging="414"/>
        <w:spacing w:after="0" w:line="311" w:lineRule="auto"/>
        <w:tabs>
          <w:tab w:leader="none" w:pos="480"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ZOU Caineng, YANG Zhi, HE Dongbo, et al. Theory, technology and prospects of conventional and unconven-tional natural gas. Petroleum Exploration and Develop-ment, 2018, 45(4): 575–587.</w:t>
      </w:r>
    </w:p>
    <w:p>
      <w:pPr>
        <w:spacing w:after="0" w:line="27" w:lineRule="exact"/>
        <w:rPr>
          <w:rFonts w:ascii="Times New Roman" w:cs="Times New Roman" w:eastAsia="Times New Roman" w:hAnsi="Times New Roman"/>
          <w:sz w:val="17"/>
          <w:szCs w:val="17"/>
          <w:color w:val="auto"/>
        </w:rPr>
      </w:pPr>
    </w:p>
    <w:p>
      <w:pPr>
        <w:jc w:val="both"/>
        <w:ind w:left="480" w:right="520" w:hanging="414"/>
        <w:spacing w:after="0" w:line="307" w:lineRule="auto"/>
        <w:tabs>
          <w:tab w:leader="none" w:pos="479"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MA Yong, ZHENG Youcheng, XU Bingqing, et al. Applica-tion precise MPD &amp; pressure balance cementing tech-nology. Natural Gas Industry, 2017, 37(8): 61–65.</w:t>
      </w:r>
    </w:p>
    <w:p>
      <w:pPr>
        <w:spacing w:after="0" w:line="29" w:lineRule="exact"/>
        <w:rPr>
          <w:rFonts w:ascii="Times New Roman" w:cs="Times New Roman" w:eastAsia="Times New Roman" w:hAnsi="Times New Roman"/>
          <w:sz w:val="17"/>
          <w:szCs w:val="17"/>
          <w:color w:val="auto"/>
        </w:rPr>
      </w:pPr>
    </w:p>
    <w:p>
      <w:pPr>
        <w:jc w:val="both"/>
        <w:ind w:left="480" w:right="520" w:hanging="414"/>
        <w:spacing w:after="0" w:line="313" w:lineRule="auto"/>
        <w:tabs>
          <w:tab w:leader="none" w:pos="479"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ZOU Caineng, ZHU Rukai, WU Songtao, et al. Types, characteristics, genesis and prospects of conventional and unconventional hydrocarbon accumulations: Taking tight oil and tight gas in China as an instance. Acta Petrolei Sinica, 2012, 33(2): 173–187.</w:t>
      </w:r>
    </w:p>
    <w:p>
      <w:pPr>
        <w:spacing w:after="0" w:line="24" w:lineRule="exact"/>
        <w:rPr>
          <w:rFonts w:ascii="Times New Roman" w:cs="Times New Roman" w:eastAsia="Times New Roman" w:hAnsi="Times New Roman"/>
          <w:sz w:val="17"/>
          <w:szCs w:val="17"/>
          <w:color w:val="auto"/>
        </w:rPr>
      </w:pPr>
    </w:p>
    <w:p>
      <w:pPr>
        <w:jc w:val="both"/>
        <w:ind w:left="480" w:right="520" w:hanging="414"/>
        <w:spacing w:after="0" w:line="311" w:lineRule="auto"/>
        <w:tabs>
          <w:tab w:leader="none" w:pos="480"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LISJAK A, GRASSELLI G. A review of discrete modeling techniques for fracturing processes in discontinuous rock masses. Journal of Rock Mechanics and Geotechnical En-gineering, 2014, 6(4): 301–314.</w:t>
      </w:r>
    </w:p>
    <w:p>
      <w:pPr>
        <w:spacing w:after="0" w:line="27" w:lineRule="exact"/>
        <w:rPr>
          <w:rFonts w:ascii="Times New Roman" w:cs="Times New Roman" w:eastAsia="Times New Roman" w:hAnsi="Times New Roman"/>
          <w:sz w:val="17"/>
          <w:szCs w:val="17"/>
          <w:color w:val="auto"/>
        </w:rPr>
      </w:pPr>
    </w:p>
    <w:p>
      <w:pPr>
        <w:jc w:val="both"/>
        <w:ind w:left="480" w:right="520" w:hanging="414"/>
        <w:spacing w:after="0" w:line="313" w:lineRule="auto"/>
        <w:tabs>
          <w:tab w:leader="none" w:pos="480"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LEI Qun, WENG Dingwei, XIONG Shengchun, et al. Pro-gress and development directions of shale oil reservoir stimulation technology of China National Petroleum Corporation. Petroleum Exploration and Development, 2021, 48(5): 1035–1042.</w:t>
      </w:r>
    </w:p>
    <w:p>
      <w:pPr>
        <w:spacing w:after="0" w:line="24" w:lineRule="exact"/>
        <w:rPr>
          <w:rFonts w:ascii="Times New Roman" w:cs="Times New Roman" w:eastAsia="Times New Roman" w:hAnsi="Times New Roman"/>
          <w:sz w:val="17"/>
          <w:szCs w:val="17"/>
          <w:color w:val="auto"/>
        </w:rPr>
      </w:pPr>
    </w:p>
    <w:p>
      <w:pPr>
        <w:jc w:val="both"/>
        <w:ind w:left="480" w:right="520" w:hanging="414"/>
        <w:spacing w:after="0" w:line="311" w:lineRule="auto"/>
        <w:tabs>
          <w:tab w:leader="none" w:pos="480"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JIA Qingsheng, ZHANG Quansheng, YANG Xiangxiang, et al. Method for information processing on the dynamic simulation test of fracturing tool. China Petroleum Ma-chinery, 2014, 42(2): 73–76.</w:t>
      </w:r>
    </w:p>
    <w:p>
      <w:pPr>
        <w:spacing w:after="0" w:line="100" w:lineRule="exact"/>
        <w:rPr>
          <w:rFonts w:ascii="Times New Roman" w:cs="Times New Roman" w:eastAsia="Times New Roman" w:hAnsi="Times New Roman"/>
          <w:sz w:val="17"/>
          <w:szCs w:val="17"/>
          <w:color w:val="auto"/>
        </w:rPr>
      </w:pPr>
    </w:p>
    <w:p>
      <w:pPr>
        <w:ind w:left="470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8"/>
          <w:szCs w:val="18"/>
          <w:color w:val="auto"/>
        </w:rPr>
        <w:t>953</w:t>
      </w:r>
    </w:p>
    <w:p>
      <w:pPr>
        <w:spacing w:after="0" w:line="20" w:lineRule="exact"/>
        <w:rPr>
          <w:sz w:val="20"/>
          <w:szCs w:val="20"/>
          <w:color w:val="auto"/>
        </w:rPr>
      </w:pPr>
      <w:r>
        <w:rPr>
          <w:sz w:val="20"/>
          <w:szCs w:val="20"/>
          <w:color w:val="auto"/>
        </w:rPr>
        <w:br w:type="column"/>
      </w:r>
    </w:p>
    <w:p>
      <w:pPr>
        <w:spacing w:after="0" w:line="324" w:lineRule="exact"/>
        <w:rPr>
          <w:sz w:val="20"/>
          <w:szCs w:val="20"/>
          <w:color w:val="auto"/>
        </w:rPr>
      </w:pPr>
    </w:p>
    <w:p>
      <w:pPr>
        <w:jc w:val="both"/>
        <w:ind w:left="418" w:hanging="418"/>
        <w:spacing w:after="0" w:line="311" w:lineRule="auto"/>
        <w:tabs>
          <w:tab w:leader="none" w:pos="417"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LIU Jubao, HUANG Qian, YANG Ming, et al. Current status and prospects of horizontal well staged fracturing tools and technologies. China Petroleum Machinery, 2021, 49(2): 110–119.</w:t>
      </w:r>
    </w:p>
    <w:p>
      <w:pPr>
        <w:spacing w:after="0" w:line="25" w:lineRule="exact"/>
        <w:rPr>
          <w:rFonts w:ascii="Times New Roman" w:cs="Times New Roman" w:eastAsia="Times New Roman" w:hAnsi="Times New Roman"/>
          <w:sz w:val="17"/>
          <w:szCs w:val="17"/>
          <w:color w:val="auto"/>
        </w:rPr>
      </w:pPr>
    </w:p>
    <w:p>
      <w:pPr>
        <w:jc w:val="both"/>
        <w:ind w:left="418" w:hanging="418"/>
        <w:spacing w:after="0" w:line="308" w:lineRule="auto"/>
        <w:tabs>
          <w:tab w:leader="none" w:pos="418"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YE Dengsheng, LI Bin, ZHOU Zheng, et al. Development and application of a new fast-drilling composite plug. Natural Gas Industry, 2014, 34(4): 62–66.</w:t>
      </w:r>
    </w:p>
    <w:p>
      <w:pPr>
        <w:spacing w:after="0" w:line="27" w:lineRule="exact"/>
        <w:rPr>
          <w:rFonts w:ascii="Times New Roman" w:cs="Times New Roman" w:eastAsia="Times New Roman" w:hAnsi="Times New Roman"/>
          <w:sz w:val="17"/>
          <w:szCs w:val="17"/>
          <w:color w:val="auto"/>
        </w:rPr>
      </w:pPr>
    </w:p>
    <w:p>
      <w:pPr>
        <w:jc w:val="both"/>
        <w:ind w:left="418" w:hanging="418"/>
        <w:spacing w:after="0" w:line="311" w:lineRule="auto"/>
        <w:tabs>
          <w:tab w:leader="none" w:pos="417"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LIANG Tianbo, SU Hang, ZAN Jingge, et al. Laboratory evaluation of viscous slickwater and its field application in Jimsar shale oil reservoirs. Petroleum Science Bulletin, 2022, 7(2): 185–195.</w:t>
      </w:r>
    </w:p>
    <w:p>
      <w:pPr>
        <w:spacing w:after="0" w:line="27" w:lineRule="exact"/>
        <w:rPr>
          <w:rFonts w:ascii="Times New Roman" w:cs="Times New Roman" w:eastAsia="Times New Roman" w:hAnsi="Times New Roman"/>
          <w:sz w:val="17"/>
          <w:szCs w:val="17"/>
          <w:color w:val="auto"/>
        </w:rPr>
      </w:pPr>
    </w:p>
    <w:p>
      <w:pPr>
        <w:jc w:val="both"/>
        <w:ind w:left="418" w:hanging="418"/>
        <w:spacing w:after="0" w:line="318" w:lineRule="auto"/>
        <w:tabs>
          <w:tab w:leader="none" w:pos="417"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WEI Juanming, JIA Wenfeng, CHEN Hao, et al. Prepara-tion and performance evaluation of integrated thickener with high viscosity and high drag reduction used for fracturing deeper shale gas. Oilfield Chemistry, 2022, 39(2): 234–238.</w:t>
      </w:r>
    </w:p>
    <w:p>
      <w:pPr>
        <w:spacing w:after="0" w:line="263" w:lineRule="exact"/>
        <w:rPr>
          <w:rFonts w:ascii="Times New Roman" w:cs="Times New Roman" w:eastAsia="Times New Roman" w:hAnsi="Times New Roman"/>
          <w:sz w:val="17"/>
          <w:szCs w:val="17"/>
          <w:color w:val="auto"/>
        </w:rPr>
      </w:pPr>
    </w:p>
    <w:p>
      <w:pPr>
        <w:jc w:val="both"/>
        <w:ind w:left="418" w:hanging="418"/>
        <w:spacing w:after="0" w:line="311" w:lineRule="auto"/>
        <w:tabs>
          <w:tab w:leader="none" w:pos="417"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ZHENG Xinquan, WANG Xin, ZHANG Fuxiang, et al. Domestic sand proppant evaluation and research pro-gress of sand source localization and its prospects. China Petroleum Exploration, 2021, 26(1): 131–137.</w:t>
      </w:r>
    </w:p>
    <w:p>
      <w:pPr>
        <w:spacing w:after="0" w:line="27" w:lineRule="exact"/>
        <w:rPr>
          <w:rFonts w:ascii="Times New Roman" w:cs="Times New Roman" w:eastAsia="Times New Roman" w:hAnsi="Times New Roman"/>
          <w:sz w:val="17"/>
          <w:szCs w:val="17"/>
          <w:color w:val="auto"/>
        </w:rPr>
      </w:pPr>
    </w:p>
    <w:p>
      <w:pPr>
        <w:jc w:val="both"/>
        <w:ind w:left="418" w:hanging="418"/>
        <w:spacing w:after="0" w:line="311" w:lineRule="auto"/>
        <w:tabs>
          <w:tab w:leader="none" w:pos="416"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HOU Yanbin, GAO Xianwen, LI Xiangyu. Prediction for dynamic liquid level of sucker rod pumping using gen-eration of multi-scale state characteristics in oil field pro-duction. CIESC Journal, 2019, 70(S2): 311–321.</w:t>
      </w:r>
    </w:p>
    <w:p>
      <w:pPr>
        <w:spacing w:after="0" w:line="27" w:lineRule="exact"/>
        <w:rPr>
          <w:rFonts w:ascii="Times New Roman" w:cs="Times New Roman" w:eastAsia="Times New Roman" w:hAnsi="Times New Roman"/>
          <w:sz w:val="17"/>
          <w:szCs w:val="17"/>
          <w:color w:val="auto"/>
        </w:rPr>
      </w:pPr>
    </w:p>
    <w:p>
      <w:pPr>
        <w:jc w:val="both"/>
        <w:ind w:left="418" w:hanging="418"/>
        <w:spacing w:after="0" w:line="307" w:lineRule="auto"/>
        <w:tabs>
          <w:tab w:leader="none" w:pos="418"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LI Zhe, YANG Zhaozhong, CHEN Rui. Application of data mining technique in fracturing operation. Natural Gas Industry, 2004, 24(11): 52–54.</w:t>
      </w:r>
    </w:p>
    <w:p>
      <w:pPr>
        <w:spacing w:after="0" w:line="29" w:lineRule="exact"/>
        <w:rPr>
          <w:rFonts w:ascii="Times New Roman" w:cs="Times New Roman" w:eastAsia="Times New Roman" w:hAnsi="Times New Roman"/>
          <w:sz w:val="17"/>
          <w:szCs w:val="17"/>
          <w:color w:val="auto"/>
        </w:rPr>
      </w:pPr>
    </w:p>
    <w:p>
      <w:pPr>
        <w:jc w:val="both"/>
        <w:ind w:left="418" w:hanging="418"/>
        <w:spacing w:after="0" w:line="307" w:lineRule="auto"/>
        <w:tabs>
          <w:tab w:leader="none" w:pos="418"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YANG Jianfeng, DU Jinhu, YANG Yong, et al. Research and practice on digital transformation of the oil and gas industry. Acta Petrolei Sinica, 2021, 42(2): 248–258.</w:t>
      </w:r>
    </w:p>
    <w:p>
      <w:pPr>
        <w:spacing w:after="0" w:line="29" w:lineRule="exact"/>
        <w:rPr>
          <w:rFonts w:ascii="Times New Roman" w:cs="Times New Roman" w:eastAsia="Times New Roman" w:hAnsi="Times New Roman"/>
          <w:sz w:val="17"/>
          <w:szCs w:val="17"/>
          <w:color w:val="auto"/>
        </w:rPr>
      </w:pPr>
    </w:p>
    <w:p>
      <w:pPr>
        <w:jc w:val="both"/>
        <w:ind w:left="418" w:hanging="418"/>
        <w:spacing w:after="0" w:line="307" w:lineRule="auto"/>
        <w:tabs>
          <w:tab w:leader="none" w:pos="417"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LEI Qun, GUAN Baoshan, CAI Bo, et al. Technological progress and prospects of reservoir stimulation. Petro-leum Exploration and Development, 2019, 46(3): 580–587.</w:t>
      </w:r>
    </w:p>
    <w:p>
      <w:pPr>
        <w:spacing w:after="0" w:line="29" w:lineRule="exact"/>
        <w:rPr>
          <w:rFonts w:ascii="Times New Roman" w:cs="Times New Roman" w:eastAsia="Times New Roman" w:hAnsi="Times New Roman"/>
          <w:sz w:val="17"/>
          <w:szCs w:val="17"/>
          <w:color w:val="auto"/>
        </w:rPr>
      </w:pPr>
    </w:p>
    <w:p>
      <w:pPr>
        <w:jc w:val="both"/>
        <w:ind w:left="418" w:hanging="418"/>
        <w:spacing w:after="0" w:line="311" w:lineRule="auto"/>
        <w:tabs>
          <w:tab w:leader="none" w:pos="417"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LIU Z Y, CHEN M, ZHANG G Q. Analysis of the influence of a natural fracture network on hydraulic fracture prop-agation in carbonate formations. Rock Mechanics and Rock Engineering, 2014, 47(2): 575–587.</w:t>
      </w:r>
    </w:p>
    <w:p>
      <w:pPr>
        <w:spacing w:after="0" w:line="25" w:lineRule="exact"/>
        <w:rPr>
          <w:rFonts w:ascii="Times New Roman" w:cs="Times New Roman" w:eastAsia="Times New Roman" w:hAnsi="Times New Roman"/>
          <w:sz w:val="17"/>
          <w:szCs w:val="17"/>
          <w:color w:val="auto"/>
        </w:rPr>
      </w:pPr>
    </w:p>
    <w:p>
      <w:pPr>
        <w:jc w:val="both"/>
        <w:ind w:left="418" w:hanging="418"/>
        <w:spacing w:after="0" w:line="308" w:lineRule="auto"/>
        <w:tabs>
          <w:tab w:leader="none" w:pos="417"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TALEGHANI A D, OLSON J E. How natural fractures could affect hydraulic-fracture geometry. SPE Journal, 2014, 19(1): 161–171.</w:t>
      </w:r>
    </w:p>
    <w:p>
      <w:pPr>
        <w:spacing w:after="0" w:line="27" w:lineRule="exact"/>
        <w:rPr>
          <w:rFonts w:ascii="Times New Roman" w:cs="Times New Roman" w:eastAsia="Times New Roman" w:hAnsi="Times New Roman"/>
          <w:sz w:val="17"/>
          <w:szCs w:val="17"/>
          <w:color w:val="auto"/>
        </w:rPr>
      </w:pPr>
    </w:p>
    <w:p>
      <w:pPr>
        <w:jc w:val="both"/>
        <w:ind w:left="418" w:hanging="418"/>
        <w:spacing w:after="0" w:line="308" w:lineRule="auto"/>
        <w:tabs>
          <w:tab w:leader="none" w:pos="418"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HANSON M E, SHAFFER R J, ANDERSON G D. Effects of various parameters on hydraulic fracturing geometry. SPE Journal, 1981, 21(4): 435–443.</w:t>
      </w:r>
    </w:p>
    <w:p>
      <w:pPr>
        <w:spacing w:after="0" w:line="27" w:lineRule="exact"/>
        <w:rPr>
          <w:rFonts w:ascii="Times New Roman" w:cs="Times New Roman" w:eastAsia="Times New Roman" w:hAnsi="Times New Roman"/>
          <w:sz w:val="17"/>
          <w:szCs w:val="17"/>
          <w:color w:val="auto"/>
        </w:rPr>
      </w:pPr>
    </w:p>
    <w:p>
      <w:pPr>
        <w:jc w:val="both"/>
        <w:ind w:left="418" w:hanging="418"/>
        <w:spacing w:after="0" w:line="311" w:lineRule="auto"/>
        <w:tabs>
          <w:tab w:leader="none" w:pos="417"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DA Yinpeng, LU Hongjun, YANG Boli, et al. Research and application of new refracturing technology in low per-meability oilfield. Petroleum Drilling Techniques, 2015, 43(3): 65–70.</w:t>
      </w:r>
    </w:p>
    <w:p>
      <w:pPr>
        <w:spacing w:after="0" w:line="27" w:lineRule="exact"/>
        <w:rPr>
          <w:rFonts w:ascii="Times New Roman" w:cs="Times New Roman" w:eastAsia="Times New Roman" w:hAnsi="Times New Roman"/>
          <w:sz w:val="17"/>
          <w:szCs w:val="17"/>
          <w:color w:val="auto"/>
        </w:rPr>
      </w:pPr>
    </w:p>
    <w:p>
      <w:pPr>
        <w:jc w:val="both"/>
        <w:ind w:left="418" w:hanging="418"/>
        <w:spacing w:after="0" w:line="311" w:lineRule="auto"/>
        <w:tabs>
          <w:tab w:leader="none" w:pos="418"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JIANG Shu, TANG Xianglu, OSBORNE S, et al. Enrich-ment factors and current misunderstanding of shale oil and gas: Case study of shales in U.S., Argentina and China. Earth Science, 2017, 42(7): 1083–1091.</w:t>
      </w:r>
    </w:p>
    <w:p>
      <w:pPr>
        <w:spacing w:after="0" w:line="26" w:lineRule="exact"/>
        <w:rPr>
          <w:rFonts w:ascii="Times New Roman" w:cs="Times New Roman" w:eastAsia="Times New Roman" w:hAnsi="Times New Roman"/>
          <w:sz w:val="17"/>
          <w:szCs w:val="17"/>
          <w:color w:val="auto"/>
        </w:rPr>
      </w:pPr>
    </w:p>
    <w:p>
      <w:pPr>
        <w:jc w:val="both"/>
        <w:ind w:left="418" w:hanging="418"/>
        <w:spacing w:after="0" w:line="309" w:lineRule="auto"/>
        <w:tabs>
          <w:tab w:leader="none" w:pos="418"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ZOU Y S, MA X F, ZHANG S C, et al. Numerical investiga-tion into the influence of bedding plane on hydraulic fracture network propagation in shale formations. Rock</w:t>
      </w:r>
    </w:p>
    <w:p>
      <w:pPr>
        <w:sectPr>
          <w:pgSz w:w="11900" w:h="16840" w:orient="portrait"/>
          <w:cols w:equalWidth="0" w:num="2">
            <w:col w:w="5280" w:space="2"/>
            <w:col w:w="4698"/>
          </w:cols>
          <w:pgMar w:left="960" w:top="1015" w:right="964" w:bottom="411" w:gutter="0" w:footer="0" w:header="0"/>
          <w:type w:val="continuous"/>
        </w:sectPr>
      </w:pPr>
    </w:p>
    <w:bookmarkStart w:id="10" w:name="page11"/>
    <w:bookmarkEnd w:id="10"/>
    <w:p>
      <w:pPr>
        <w:jc w:val="center"/>
        <w:ind w:right="-133"/>
        <w:spacing w:after="0"/>
        <w:rPr>
          <w:sz w:val="20"/>
          <w:szCs w:val="20"/>
          <w:color w:val="auto"/>
        </w:rPr>
      </w:pPr>
      <w:r>
        <w:rPr>
          <w:rFonts w:ascii="Times New Roman" w:cs="Times New Roman" w:eastAsia="Times New Roman" w:hAnsi="Times New Roman"/>
          <w:sz w:val="16"/>
          <w:szCs w:val="16"/>
          <w:i w:val="1"/>
          <w:iCs w:val="1"/>
          <w:color w:val="auto"/>
        </w:rPr>
        <w:t>LEI Qun et al. / Petroleum Exploration and Development, 2023, 50(4): 944–954</w:t>
      </w:r>
    </w:p>
    <w:p>
      <w:pPr>
        <w:sectPr>
          <w:pgSz w:w="11900" w:h="16840" w:orient="portrait"/>
          <w:cols w:equalWidth="0" w:num="1">
            <w:col w:w="9914"/>
          </w:cols>
          <w:pgMar w:left="1026" w:top="1015" w:right="964" w:bottom="411" w:gutter="0" w:footer="0" w:header="0"/>
        </w:sectPr>
      </w:pPr>
    </w:p>
    <w:p>
      <w:pPr>
        <w:spacing w:after="0" w:line="327" w:lineRule="exact"/>
        <w:rPr>
          <w:sz w:val="20"/>
          <w:szCs w:val="20"/>
          <w:color w:val="auto"/>
        </w:rPr>
      </w:pPr>
    </w:p>
    <w:p>
      <w:pPr>
        <w:ind w:left="414"/>
        <w:spacing w:after="0"/>
        <w:rPr>
          <w:sz w:val="20"/>
          <w:szCs w:val="20"/>
          <w:color w:val="auto"/>
        </w:rPr>
      </w:pPr>
      <w:r>
        <w:rPr>
          <w:rFonts w:ascii="Times New Roman" w:cs="Times New Roman" w:eastAsia="Times New Roman" w:hAnsi="Times New Roman"/>
          <w:sz w:val="17"/>
          <w:szCs w:val="17"/>
          <w:color w:val="auto"/>
        </w:rPr>
        <w:t>Mechanics and Rock Engineering, 2016, 49(9): 3597–3614.</w:t>
      </w:r>
    </w:p>
    <w:p>
      <w:pPr>
        <w:spacing w:after="0" w:line="82" w:lineRule="exact"/>
        <w:rPr>
          <w:sz w:val="20"/>
          <w:szCs w:val="20"/>
          <w:color w:val="auto"/>
        </w:rPr>
      </w:pPr>
    </w:p>
    <w:p>
      <w:pPr>
        <w:jc w:val="both"/>
        <w:ind w:left="414" w:hanging="414"/>
        <w:spacing w:after="0" w:line="311" w:lineRule="auto"/>
        <w:tabs>
          <w:tab w:leader="none" w:pos="414" w:val="left"/>
        </w:tabs>
        <w:numPr>
          <w:ilvl w:val="0"/>
          <w:numId w:val="1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CHENG Y. Impacts of the number of perforation clusters and cluster spacing on production performance of hori-zontal shale-gas wells. SPE Reservoir Evaluation &amp; Engi-neering, 2012, 15(1): 31–40.</w:t>
      </w:r>
    </w:p>
    <w:p>
      <w:pPr>
        <w:spacing w:after="0" w:line="27" w:lineRule="exact"/>
        <w:rPr>
          <w:rFonts w:ascii="Times New Roman" w:cs="Times New Roman" w:eastAsia="Times New Roman" w:hAnsi="Times New Roman"/>
          <w:sz w:val="17"/>
          <w:szCs w:val="17"/>
          <w:color w:val="auto"/>
        </w:rPr>
      </w:pPr>
    </w:p>
    <w:p>
      <w:pPr>
        <w:jc w:val="both"/>
        <w:ind w:left="414" w:hanging="414"/>
        <w:spacing w:after="0" w:line="311" w:lineRule="auto"/>
        <w:tabs>
          <w:tab w:leader="none" w:pos="413" w:val="left"/>
        </w:tabs>
        <w:numPr>
          <w:ilvl w:val="0"/>
          <w:numId w:val="1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GUANG Xinjun, WANG Minsheng. Re-fracturing key technologies of shale oil and gas in North America and the suggestions. Oil Drilling &amp; Production Technology, 2019, 41(2): 224–229.</w:t>
      </w:r>
    </w:p>
    <w:p>
      <w:pPr>
        <w:spacing w:after="0" w:line="27" w:lineRule="exact"/>
        <w:rPr>
          <w:rFonts w:ascii="Times New Roman" w:cs="Times New Roman" w:eastAsia="Times New Roman" w:hAnsi="Times New Roman"/>
          <w:sz w:val="17"/>
          <w:szCs w:val="17"/>
          <w:color w:val="auto"/>
        </w:rPr>
      </w:pPr>
    </w:p>
    <w:p>
      <w:pPr>
        <w:jc w:val="both"/>
        <w:ind w:left="414" w:hanging="414"/>
        <w:spacing w:after="0" w:line="313" w:lineRule="auto"/>
        <w:tabs>
          <w:tab w:leader="none" w:pos="413" w:val="left"/>
        </w:tabs>
        <w:numPr>
          <w:ilvl w:val="0"/>
          <w:numId w:val="1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LI Guoxin, LUO Kai, SHI Deqin. Key technologies, engi-neering management and important suggestions of shale oil/gas development: Case study of a Duvernay shale pro-ject in Western Canada Sedimentary Basin. Petroleum Exploration and Development, 2020, 47(4): 739–749.</w:t>
      </w:r>
    </w:p>
    <w:p>
      <w:pPr>
        <w:spacing w:after="0" w:line="24" w:lineRule="exact"/>
        <w:rPr>
          <w:rFonts w:ascii="Times New Roman" w:cs="Times New Roman" w:eastAsia="Times New Roman" w:hAnsi="Times New Roman"/>
          <w:sz w:val="17"/>
          <w:szCs w:val="17"/>
          <w:color w:val="auto"/>
        </w:rPr>
      </w:pPr>
    </w:p>
    <w:p>
      <w:pPr>
        <w:jc w:val="both"/>
        <w:ind w:left="414" w:hanging="414"/>
        <w:spacing w:after="0" w:line="307" w:lineRule="auto"/>
        <w:tabs>
          <w:tab w:leader="none" w:pos="414" w:val="left"/>
        </w:tabs>
        <w:numPr>
          <w:ilvl w:val="0"/>
          <w:numId w:val="1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GUO Jianchun, LU Qianli, HE Youwei. Key issues and explorations in shale gas fracturing. Natural Gas Industry, 2022, 42(8): 148–161.</w:t>
      </w:r>
    </w:p>
    <w:p>
      <w:pPr>
        <w:spacing w:after="0" w:line="29" w:lineRule="exact"/>
        <w:rPr>
          <w:rFonts w:ascii="Times New Roman" w:cs="Times New Roman" w:eastAsia="Times New Roman" w:hAnsi="Times New Roman"/>
          <w:sz w:val="17"/>
          <w:szCs w:val="17"/>
          <w:color w:val="auto"/>
        </w:rPr>
      </w:pPr>
    </w:p>
    <w:p>
      <w:pPr>
        <w:jc w:val="both"/>
        <w:ind w:left="414" w:hanging="414"/>
        <w:spacing w:after="0" w:line="311" w:lineRule="auto"/>
        <w:tabs>
          <w:tab w:leader="none" w:pos="414" w:val="left"/>
        </w:tabs>
        <w:numPr>
          <w:ilvl w:val="0"/>
          <w:numId w:val="1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ZHANG Ping, HE Yunbin, LIU Ziping, et al. Shear com-pression deformation test and deformation prevention practice of casing in shale gas horizontal wells. Natural Gas Industry, 2021, 41(5): 84–91.</w:t>
      </w:r>
    </w:p>
    <w:p>
      <w:pPr>
        <w:spacing w:after="0" w:line="20" w:lineRule="exact"/>
        <w:rPr>
          <w:sz w:val="20"/>
          <w:szCs w:val="20"/>
          <w:color w:val="auto"/>
        </w:rPr>
      </w:pPr>
      <w:r>
        <w:rPr>
          <w:sz w:val="20"/>
          <w:szCs w:val="20"/>
          <w:color w:val="auto"/>
        </w:rPr>
        <w:br w:type="column"/>
      </w:r>
    </w:p>
    <w:p>
      <w:pPr>
        <w:spacing w:after="0" w:line="325" w:lineRule="exact"/>
        <w:rPr>
          <w:sz w:val="20"/>
          <w:szCs w:val="20"/>
          <w:color w:val="auto"/>
        </w:rPr>
      </w:pPr>
    </w:p>
    <w:p>
      <w:pPr>
        <w:jc w:val="both"/>
        <w:ind w:left="418" w:hanging="418"/>
        <w:spacing w:after="0" w:line="320" w:lineRule="auto"/>
        <w:tabs>
          <w:tab w:leader="none" w:pos="418" w:val="left"/>
        </w:tabs>
        <w:numPr>
          <w:ilvl w:val="0"/>
          <w:numId w:val="1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MENG Qinghua. Some improved technologies for appli-cation and maintenance of mine shaft equipment in Dongpang Mine. Coal Science and Technology, 2008, 36(10): 36–37.</w:t>
      </w:r>
    </w:p>
    <w:p>
      <w:pPr>
        <w:spacing w:after="0" w:line="257" w:lineRule="exact"/>
        <w:rPr>
          <w:rFonts w:ascii="Times New Roman" w:cs="Times New Roman" w:eastAsia="Times New Roman" w:hAnsi="Times New Roman"/>
          <w:sz w:val="17"/>
          <w:szCs w:val="17"/>
          <w:color w:val="auto"/>
        </w:rPr>
      </w:pPr>
    </w:p>
    <w:p>
      <w:pPr>
        <w:jc w:val="both"/>
        <w:ind w:left="418" w:hanging="418"/>
        <w:spacing w:after="0" w:line="311" w:lineRule="auto"/>
        <w:tabs>
          <w:tab w:leader="none" w:pos="417" w:val="left"/>
        </w:tabs>
        <w:numPr>
          <w:ilvl w:val="0"/>
          <w:numId w:val="1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ZOU Y S, ZHANG S C, ZHOU T, et al. Experimental inves-tigation into hydraulic fracture network propagation in gas shales using CT scanning technology. Rock Mechanics and Rock Engineering, 2016, 49(1): 33–45.</w:t>
      </w:r>
    </w:p>
    <w:p>
      <w:pPr>
        <w:spacing w:after="0" w:line="27" w:lineRule="exact"/>
        <w:rPr>
          <w:rFonts w:ascii="Times New Roman" w:cs="Times New Roman" w:eastAsia="Times New Roman" w:hAnsi="Times New Roman"/>
          <w:sz w:val="17"/>
          <w:szCs w:val="17"/>
          <w:color w:val="auto"/>
        </w:rPr>
      </w:pPr>
    </w:p>
    <w:p>
      <w:pPr>
        <w:jc w:val="both"/>
        <w:ind w:left="418" w:hanging="418"/>
        <w:spacing w:after="0" w:line="320" w:lineRule="auto"/>
        <w:tabs>
          <w:tab w:leader="none" w:pos="417" w:val="left"/>
        </w:tabs>
        <w:numPr>
          <w:ilvl w:val="0"/>
          <w:numId w:val="1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QIANG Jie, QI Yuekui, LIU Xueguang, et al. Research on the application of expansion pipe patch technology in Dagang Oilfield. China Petroleum Machinery, 2021, 49(9): 105–112.</w:t>
      </w:r>
    </w:p>
    <w:p>
      <w:pPr>
        <w:spacing w:after="0" w:line="258" w:lineRule="exact"/>
        <w:rPr>
          <w:rFonts w:ascii="Times New Roman" w:cs="Times New Roman" w:eastAsia="Times New Roman" w:hAnsi="Times New Roman"/>
          <w:sz w:val="17"/>
          <w:szCs w:val="17"/>
          <w:color w:val="auto"/>
        </w:rPr>
      </w:pPr>
    </w:p>
    <w:p>
      <w:pPr>
        <w:jc w:val="both"/>
        <w:ind w:left="418" w:hanging="418"/>
        <w:spacing w:after="0" w:line="311" w:lineRule="auto"/>
        <w:tabs>
          <w:tab w:leader="none" w:pos="417" w:val="left"/>
        </w:tabs>
        <w:numPr>
          <w:ilvl w:val="0"/>
          <w:numId w:val="1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LEI Qun, LI Yiliang, LI Tao, et al. Technical status and development direction of workover operation of Petro-China. Petroleum Exploration and Development, 2020, 47(1): 155–162.</w:t>
      </w:r>
    </w:p>
    <w:p>
      <w:pPr>
        <w:spacing w:after="0" w:line="25" w:lineRule="exact"/>
        <w:rPr>
          <w:rFonts w:ascii="Times New Roman" w:cs="Times New Roman" w:eastAsia="Times New Roman" w:hAnsi="Times New Roman"/>
          <w:sz w:val="17"/>
          <w:szCs w:val="17"/>
          <w:color w:val="auto"/>
        </w:rPr>
      </w:pPr>
    </w:p>
    <w:p>
      <w:pPr>
        <w:jc w:val="both"/>
        <w:ind w:left="418" w:hanging="418"/>
        <w:spacing w:after="0" w:line="318" w:lineRule="auto"/>
        <w:tabs>
          <w:tab w:leader="none" w:pos="417" w:val="left"/>
        </w:tabs>
        <w:numPr>
          <w:ilvl w:val="0"/>
          <w:numId w:val="1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PEI Y L, YU W, SEPEHRNOORI K, et al. The influence of development target depletion on stress evolution and in-fill drilling of upside target in the Permian Basin. SPE Reservoir Evaluation &amp; Engineering, 2021, 24(3): 570–589.</w:t>
      </w:r>
    </w:p>
    <w:p>
      <w:pPr>
        <w:spacing w:after="0" w:line="438" w:lineRule="exact"/>
        <w:rPr>
          <w:sz w:val="20"/>
          <w:szCs w:val="20"/>
          <w:color w:val="auto"/>
        </w:rPr>
      </w:pPr>
    </w:p>
    <w:p>
      <w:pPr>
        <w:sectPr>
          <w:pgSz w:w="11900" w:h="16840" w:orient="portrait"/>
          <w:cols w:equalWidth="0" w:num="2">
            <w:col w:w="4694" w:space="522"/>
            <w:col w:w="4698"/>
          </w:cols>
          <w:pgMar w:left="1026" w:top="1015" w:right="964" w:bottom="41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center"/>
        <w:ind w:right="66"/>
        <w:spacing w:after="0"/>
        <w:rPr>
          <w:sz w:val="20"/>
          <w:szCs w:val="20"/>
          <w:color w:val="auto"/>
        </w:rPr>
      </w:pPr>
      <w:r>
        <w:rPr>
          <w:rFonts w:ascii="Times New Roman" w:cs="Times New Roman" w:eastAsia="Times New Roman" w:hAnsi="Times New Roman"/>
          <w:sz w:val="18"/>
          <w:szCs w:val="18"/>
          <w:color w:val="auto"/>
        </w:rPr>
        <w:t>954</w:t>
      </w:r>
    </w:p>
    <w:sectPr>
      <w:pgSz w:w="11900" w:h="16840" w:orient="portrait"/>
      <w:cols w:equalWidth="0" w:num="1">
        <w:col w:w="9914"/>
      </w:cols>
      <w:pgMar w:left="1026" w:top="1015" w:right="964" w:bottom="411"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2200854"/>
    <w:multiLevelType w:val="hybridMultilevel"/>
    <w:lvl w:ilvl="0">
      <w:lvlJc w:val="left"/>
      <w:lvlText w:val="%1."/>
      <w:numFmt w:val="decimal"/>
      <w:start w:val="1"/>
    </w:lvl>
  </w:abstractNum>
  <w:abstractNum w:abstractNumId="1">
    <w:nsid w:val="4DB127F8"/>
    <w:multiLevelType w:val="hybridMultilevel"/>
    <w:lvl w:ilvl="0">
      <w:lvlJc w:val="left"/>
      <w:lvlText w:val="*"/>
      <w:numFmt w:val="bullet"/>
      <w:start w:val="1"/>
    </w:lvl>
  </w:abstractNum>
  <w:abstractNum w:abstractNumId="2">
    <w:nsid w:val="216231B"/>
    <w:multiLevelType w:val="hybridMultilevel"/>
    <w:lvl w:ilvl="0">
      <w:lvlJc w:val="left"/>
      <w:lvlText w:val="%1."/>
      <w:numFmt w:val="decimal"/>
      <w:start w:val="1"/>
    </w:lvl>
  </w:abstractNum>
  <w:abstractNum w:abstractNumId="3">
    <w:nsid w:val="1F16E9E8"/>
    <w:multiLevelType w:val="hybridMultilevel"/>
    <w:lvl w:ilvl="0">
      <w:lvlJc w:val="left"/>
      <w:lvlText w:val="(%1)"/>
      <w:numFmt w:val="decimal"/>
      <w:start w:val="1"/>
    </w:lvl>
  </w:abstractNum>
  <w:abstractNum w:abstractNumId="4">
    <w:nsid w:val="1190CDE7"/>
    <w:multiLevelType w:val="hybridMultilevel"/>
    <w:lvl w:ilvl="0">
      <w:lvlJc w:val="left"/>
      <w:lvlText w:val="%1."/>
      <w:numFmt w:val="decimal"/>
      <w:start w:val="2"/>
    </w:lvl>
  </w:abstractNum>
  <w:abstractNum w:abstractNumId="5">
    <w:nsid w:val="66EF438D"/>
    <w:multiLevelType w:val="hybridMultilevel"/>
    <w:lvl w:ilvl="0">
      <w:lvlJc w:val="left"/>
      <w:lvlText w:val="(%1)"/>
      <w:numFmt w:val="decimal"/>
      <w:start w:val="2"/>
    </w:lvl>
  </w:abstractNum>
  <w:abstractNum w:abstractNumId="6">
    <w:nsid w:val="140E0F76"/>
    <w:multiLevelType w:val="hybridMultilevel"/>
    <w:lvl w:ilvl="0">
      <w:lvlJc w:val="left"/>
      <w:lvlText w:val="%1."/>
      <w:numFmt w:val="decimal"/>
      <w:start w:val="3"/>
    </w:lvl>
  </w:abstractNum>
  <w:abstractNum w:abstractNumId="7">
    <w:nsid w:val="3352255A"/>
    <w:multiLevelType w:val="hybridMultilevel"/>
    <w:lvl w:ilvl="0">
      <w:lvlJc w:val="left"/>
      <w:lvlText w:val="(%1)"/>
      <w:numFmt w:val="decimal"/>
      <w:start w:val="2"/>
    </w:lvl>
  </w:abstractNum>
  <w:abstractNum w:abstractNumId="8">
    <w:nsid w:val="109CF92E"/>
    <w:multiLevelType w:val="hybridMultilevel"/>
    <w:lvl w:ilvl="0">
      <w:lvlJc w:val="left"/>
      <w:lvlText w:val="(%1)"/>
      <w:numFmt w:val="decimal"/>
      <w:start w:val="2"/>
    </w:lvl>
  </w:abstractNum>
  <w:abstractNum w:abstractNumId="9">
    <w:nsid w:val="DED7263"/>
    <w:multiLevelType w:val="hybridMultilevel"/>
    <w:lvl w:ilvl="0">
      <w:lvlJc w:val="left"/>
      <w:lvlText w:val="(%1)"/>
      <w:numFmt w:val="decimal"/>
      <w:start w:val="4"/>
    </w:lvl>
  </w:abstractNum>
  <w:abstractNum w:abstractNumId="10">
    <w:nsid w:val="7FDCC233"/>
    <w:multiLevelType w:val="hybridMultilevel"/>
    <w:lvl w:ilvl="0">
      <w:lvlJc w:val="left"/>
      <w:lvlText w:val="(%1)"/>
      <w:numFmt w:val="decimal"/>
      <w:start w:val="1"/>
    </w:lvl>
  </w:abstractNum>
  <w:abstractNum w:abstractNumId="11">
    <w:nsid w:val="1BEFD79F"/>
    <w:multiLevelType w:val="hybridMultilevel"/>
    <w:lvl w:ilvl="0">
      <w:lvlJc w:val="left"/>
      <w:lvlText w:val="(%1)"/>
      <w:numFmt w:val="decimal"/>
      <w:start w:val="4"/>
    </w:lvl>
  </w:abstractNum>
  <w:abstractNum w:abstractNumId="12">
    <w:nsid w:val="41A7C4C9"/>
    <w:multiLevelType w:val="hybridMultilevel"/>
    <w:lvl w:ilvl="0">
      <w:lvlJc w:val="left"/>
      <w:lvlText w:val="(%1)"/>
      <w:numFmt w:val="decimal"/>
      <w:start w:val="3"/>
    </w:lvl>
  </w:abstractNum>
  <w:abstractNum w:abstractNumId="13">
    <w:nsid w:val="6B68079A"/>
    <w:multiLevelType w:val="hybridMultilevel"/>
    <w:lvl w:ilvl="0">
      <w:lvlJc w:val="left"/>
      <w:lvlText w:val="%1."/>
      <w:numFmt w:val="decimal"/>
      <w:start w:val="4"/>
    </w:lvl>
  </w:abstractNum>
  <w:abstractNum w:abstractNumId="14">
    <w:nsid w:val="4E6AFB66"/>
    <w:multiLevelType w:val="hybridMultilevel"/>
    <w:lvl w:ilvl="0">
      <w:lvlJc w:val="left"/>
      <w:lvlText w:val="[%1]"/>
      <w:numFmt w:val="decimal"/>
      <w:start w:val="1"/>
    </w:lvl>
    <w:lvl w:ilvl="1">
      <w:lvlJc w:val="left"/>
      <w:lvlText w:val=" "/>
      <w:numFmt w:val="bullet"/>
      <w:start w:val="1"/>
    </w:lvl>
  </w:abstractNum>
  <w:abstractNum w:abstractNumId="15">
    <w:nsid w:val="25E45D32"/>
    <w:multiLevelType w:val="hybridMultilevel"/>
    <w:lvl w:ilvl="0">
      <w:lvlJc w:val="left"/>
      <w:lvlText w:val="[%1]"/>
      <w:numFmt w:val="decimal"/>
      <w:start w:val="14"/>
    </w:lvl>
  </w:abstractNum>
  <w:abstractNum w:abstractNumId="16">
    <w:nsid w:val="519B500D"/>
    <w:multiLevelType w:val="hybridMultilevel"/>
    <w:lvl w:ilvl="0">
      <w:lvlJc w:val="left"/>
      <w:lvlText w:val="[%1]"/>
      <w:numFmt w:val="decimal"/>
      <w:start w:val="29"/>
    </w:lvl>
  </w:abstractNum>
  <w:abstractNum w:abstractNumId="17">
    <w:nsid w:val="431BD7B7"/>
    <w:multiLevelType w:val="hybridMultilevel"/>
    <w:lvl w:ilvl="0">
      <w:lvlJc w:val="left"/>
      <w:lvlText w:val="[%1]"/>
      <w:numFmt w:val="decimal"/>
      <w:start w:val="3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2023-11-10T20:32:04Z</dcterms:created>
  <dcterms:modified xsi:type="dcterms:W3CDTF">2023-11-10T20:32:04Z</dcterms:modified>
</cp:coreProperties>
</file>