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Table. Economic Deprivation Index (EDI) and accredited cardiac imaging capacity</w:t>
      </w:r>
    </w:p>
    <w:p>
      <w:pPr>
        <w:jc w:val="left"/>
      </w:pPr>
      <w:r>
        <w:t>Negative binomial regression with an offset of log(adults aged 45 and older). IRR is expressed per 10-percentile increase in EDI. Rate-eligible counties only (≥1,000 adults aged 45+).</w:t>
      </w:r>
    </w:p>
    <w:p>
      <w:pPr>
        <w:pStyle w:val="Heading2"/>
      </w:pPr>
      <w:r>
        <w:t>CMR (n = 3029 counties)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IRR (95% CI)</w:t>
            </w:r>
          </w:p>
        </w:tc>
        <w:tc>
          <w:tcPr>
            <w:tcW w:type="dxa" w:w="2880"/>
          </w:tcPr>
          <w:p>
            <w:r>
              <w:rPr>
                <w:b/>
              </w:rPr>
              <w:t>P value</w:t>
            </w:r>
          </w:p>
        </w:tc>
      </w:tr>
      <w:tr>
        <w:tc>
          <w:tcPr>
            <w:tcW w:type="dxa" w:w="2880"/>
          </w:tcPr>
          <w:p>
            <w:r>
              <w:t>EDI, unadjusted</w:t>
            </w:r>
          </w:p>
        </w:tc>
        <w:tc>
          <w:tcPr>
            <w:tcW w:type="dxa" w:w="2880"/>
          </w:tcPr>
          <w:p>
            <w:r>
              <w:t>0.9373 (0.9000-0.9762)</w:t>
            </w:r>
          </w:p>
        </w:tc>
        <w:tc>
          <w:tcPr>
            <w:tcW w:type="dxa" w:w="2880"/>
          </w:tcPr>
          <w:p>
            <w:r>
              <w:t>0.0018</w:t>
            </w:r>
          </w:p>
        </w:tc>
      </w:tr>
      <w:tr>
        <w:tc>
          <w:tcPr>
            <w:tcW w:type="dxa" w:w="2880"/>
          </w:tcPr>
          <w:p>
            <w:r>
              <w:t>EDI, adjusted for metropolitan status</w:t>
            </w:r>
          </w:p>
        </w:tc>
        <w:tc>
          <w:tcPr>
            <w:tcW w:type="dxa" w:w="2880"/>
          </w:tcPr>
          <w:p>
            <w:r>
              <w:t>0.9828 (0.9409-1.0265)</w:t>
            </w:r>
          </w:p>
        </w:tc>
        <w:tc>
          <w:tcPr>
            <w:tcW w:type="dxa" w:w="2880"/>
          </w:tcPr>
          <w:p>
            <w:r>
              <w:t>0.4343</w:t>
            </w:r>
          </w:p>
        </w:tc>
      </w:tr>
      <w:tr>
        <w:tc>
          <w:tcPr>
            <w:tcW w:type="dxa" w:w="2880"/>
          </w:tcPr>
          <w:p>
            <w:r>
              <w:t>EDI, adjusted for ordinal RUCC</w:t>
            </w:r>
          </w:p>
        </w:tc>
        <w:tc>
          <w:tcPr>
            <w:tcW w:type="dxa" w:w="2880"/>
          </w:tcPr>
          <w:p>
            <w:r>
              <w:t>0.9937 (0.9499-1.0395)</w:t>
            </w:r>
          </w:p>
        </w:tc>
        <w:tc>
          <w:tcPr>
            <w:tcW w:type="dxa" w:w="2880"/>
          </w:tcPr>
          <w:p>
            <w:r>
              <w:t>0.7834</w:t>
            </w:r>
          </w:p>
        </w:tc>
      </w:tr>
      <w:tr>
        <w:tc>
          <w:tcPr>
            <w:tcW w:type="dxa" w:w="2880"/>
          </w:tcPr>
          <w:p>
            <w:r>
              <w:t>EDI, metropolitan counties only</w:t>
            </w:r>
          </w:p>
        </w:tc>
        <w:tc>
          <w:tcPr>
            <w:tcW w:type="dxa" w:w="2880"/>
          </w:tcPr>
          <w:p>
            <w:r>
              <w:t>0.9944 (0.9514-1.0395)</w:t>
            </w:r>
          </w:p>
        </w:tc>
        <w:tc>
          <w:tcPr>
            <w:tcW w:type="dxa" w:w="2880"/>
          </w:tcPr>
          <w:p>
            <w:r>
              <w:t>0.8053</w:t>
            </w:r>
          </w:p>
        </w:tc>
      </w:tr>
      <w:tr>
        <w:tc>
          <w:tcPr>
            <w:tcW w:type="dxa" w:w="2880"/>
          </w:tcPr>
          <w:p>
            <w:r>
              <w:t>EDI, nonmetropolitan counties only</w:t>
            </w:r>
          </w:p>
        </w:tc>
        <w:tc>
          <w:tcPr>
            <w:tcW w:type="dxa" w:w="2880"/>
          </w:tcPr>
          <w:p>
            <w:r>
              <w:t>0.7265 (0.5724-0.9221)</w:t>
            </w:r>
          </w:p>
        </w:tc>
        <w:tc>
          <w:tcPr>
            <w:tcW w:type="dxa" w:w="2880"/>
          </w:tcPr>
          <w:p>
            <w:r>
              <w:t>0.0086</w:t>
            </w:r>
          </w:p>
        </w:tc>
      </w:tr>
      <w:tr>
        <w:tc>
          <w:tcPr>
            <w:tcW w:type="dxa" w:w="2880"/>
          </w:tcPr>
          <w:p>
            <w:r>
              <w:t>Metropolitan status (from adjusted model)</w:t>
            </w:r>
          </w:p>
        </w:tc>
        <w:tc>
          <w:tcPr>
            <w:tcW w:type="dxa" w:w="2880"/>
          </w:tcPr>
          <w:p>
            <w:r>
              <w:t>8.2307 (4.6523-14.5614)</w:t>
            </w:r>
          </w:p>
        </w:tc>
        <w:tc>
          <w:tcPr>
            <w:tcW w:type="dxa" w:w="2880"/>
          </w:tcPr>
          <w:p>
            <w:r>
              <w:t>&lt;0.0001</w:t>
            </w:r>
          </w:p>
        </w:tc>
      </w:tr>
    </w:tbl>
    <w:p>
      <w:r>
        <w:t>Stratum sizes. Metropolitan, 1173 counties carrying 674 facilities in 276 counties. Nonmetropolitan, 1856 counties carrying 13 facilities in 13 counties.</w:t>
      </w:r>
    </w:p>
    <w:p>
      <w:r>
        <w:rPr>
          <w:i/>
        </w:rPr>
        <w:t>Caution. The nonmetropolitan CMR stratum contains only 13 facilities. Estimates from it are unstable and should be read as exploratory.</w:t>
      </w:r>
    </w:p>
    <w:p>
      <w:pPr>
        <w:pStyle w:val="Heading2"/>
      </w:pPr>
      <w:r>
        <w:t>CCT (n = 3029 counties)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IRR (95% CI)</w:t>
            </w:r>
          </w:p>
        </w:tc>
        <w:tc>
          <w:tcPr>
            <w:tcW w:type="dxa" w:w="2880"/>
          </w:tcPr>
          <w:p>
            <w:r>
              <w:rPr>
                <w:b/>
              </w:rPr>
              <w:t>P value</w:t>
            </w:r>
          </w:p>
        </w:tc>
      </w:tr>
      <w:tr>
        <w:tc>
          <w:tcPr>
            <w:tcW w:type="dxa" w:w="2880"/>
          </w:tcPr>
          <w:p>
            <w:r>
              <w:t>EDI, unadjusted</w:t>
            </w:r>
          </w:p>
        </w:tc>
        <w:tc>
          <w:tcPr>
            <w:tcW w:type="dxa" w:w="2880"/>
          </w:tcPr>
          <w:p>
            <w:r>
              <w:t>0.9789 (0.9490-1.0097)</w:t>
            </w:r>
          </w:p>
        </w:tc>
        <w:tc>
          <w:tcPr>
            <w:tcW w:type="dxa" w:w="2880"/>
          </w:tcPr>
          <w:p>
            <w:r>
              <w:t>0.1767</w:t>
            </w:r>
          </w:p>
        </w:tc>
      </w:tr>
      <w:tr>
        <w:tc>
          <w:tcPr>
            <w:tcW w:type="dxa" w:w="2880"/>
          </w:tcPr>
          <w:p>
            <w:r>
              <w:t>EDI, adjusted for metropolitan status</w:t>
            </w:r>
          </w:p>
        </w:tc>
        <w:tc>
          <w:tcPr>
            <w:tcW w:type="dxa" w:w="2880"/>
          </w:tcPr>
          <w:p>
            <w:r>
              <w:t>1.0074 (0.9745-1.0414)</w:t>
            </w:r>
          </w:p>
        </w:tc>
        <w:tc>
          <w:tcPr>
            <w:tcW w:type="dxa" w:w="2880"/>
          </w:tcPr>
          <w:p>
            <w:r>
              <w:t>0.6633</w:t>
            </w:r>
          </w:p>
        </w:tc>
      </w:tr>
      <w:tr>
        <w:tc>
          <w:tcPr>
            <w:tcW w:type="dxa" w:w="2880"/>
          </w:tcPr>
          <w:p>
            <w:r>
              <w:t>EDI, adjusted for ordinal RUCC</w:t>
            </w:r>
          </w:p>
        </w:tc>
        <w:tc>
          <w:tcPr>
            <w:tcW w:type="dxa" w:w="2880"/>
          </w:tcPr>
          <w:p>
            <w:r>
              <w:t>1.0187 (0.9845-1.0540)</w:t>
            </w:r>
          </w:p>
        </w:tc>
        <w:tc>
          <w:tcPr>
            <w:tcW w:type="dxa" w:w="2880"/>
          </w:tcPr>
          <w:p>
            <w:r>
              <w:t>0.2888</w:t>
            </w:r>
          </w:p>
        </w:tc>
      </w:tr>
      <w:tr>
        <w:tc>
          <w:tcPr>
            <w:tcW w:type="dxa" w:w="2880"/>
          </w:tcPr>
          <w:p>
            <w:r>
              <w:t>EDI, metropolitan counties only</w:t>
            </w:r>
          </w:p>
        </w:tc>
        <w:tc>
          <w:tcPr>
            <w:tcW w:type="dxa" w:w="2880"/>
          </w:tcPr>
          <w:p>
            <w:r>
              <w:t>1.0193 (0.9825-1.0574)</w:t>
            </w:r>
          </w:p>
        </w:tc>
        <w:tc>
          <w:tcPr>
            <w:tcW w:type="dxa" w:w="2880"/>
          </w:tcPr>
          <w:p>
            <w:r>
              <w:t>0.3082</w:t>
            </w:r>
          </w:p>
        </w:tc>
      </w:tr>
      <w:tr>
        <w:tc>
          <w:tcPr>
            <w:tcW w:type="dxa" w:w="2880"/>
          </w:tcPr>
          <w:p>
            <w:r>
              <w:t>EDI, nonmetropolitan counties only</w:t>
            </w:r>
          </w:p>
        </w:tc>
        <w:tc>
          <w:tcPr>
            <w:tcW w:type="dxa" w:w="2880"/>
          </w:tcPr>
          <w:p>
            <w:r>
              <w:t>0.9569 (0.8866-1.0328)</w:t>
            </w:r>
          </w:p>
        </w:tc>
        <w:tc>
          <w:tcPr>
            <w:tcW w:type="dxa" w:w="2880"/>
          </w:tcPr>
          <w:p>
            <w:r>
              <w:t>0.2578</w:t>
            </w:r>
          </w:p>
        </w:tc>
      </w:tr>
      <w:tr>
        <w:tc>
          <w:tcPr>
            <w:tcW w:type="dxa" w:w="2880"/>
          </w:tcPr>
          <w:p>
            <w:r>
              <w:t>Metropolitan status (from adjusted model)</w:t>
            </w:r>
          </w:p>
        </w:tc>
        <w:tc>
          <w:tcPr>
            <w:tcW w:type="dxa" w:w="2880"/>
          </w:tcPr>
          <w:p>
            <w:r>
              <w:t>1.9619 (1.5583-2.4702)</w:t>
            </w:r>
          </w:p>
        </w:tc>
        <w:tc>
          <w:tcPr>
            <w:tcW w:type="dxa" w:w="2880"/>
          </w:tcPr>
          <w:p>
            <w:r>
              <w:t>&lt;0.0001</w:t>
            </w:r>
          </w:p>
        </w:tc>
      </w:tr>
    </w:tbl>
    <w:p>
      <w:r>
        <w:t>Stratum sizes. Metropolitan, 1173 counties carrying 1369 facilities in 427 counties. Nonmetropolitan, 1856 counties carrying 112 facilities in 105 counties.</w:t>
      </w:r>
    </w:p>
    <w:p>
      <w:pPr>
        <w:pStyle w:val="Heading2"/>
      </w:pPr>
      <w:r>
        <w:t>Why the unadjusted association appears</w:t>
      </w:r>
    </w:p>
    <w:p>
      <w:r>
        <w:t>The EDI tracks rurality. Spearman rho versus RUCC is 0.280, and mean EDI is 39.9 in metropolitan counties versus 56.9 in nonmetropolitan counties, a gap of 17.0 points. Because accredited capacity is concentrated in metropolitan counties, an unadjusted deprivation model absorbs the rurality signal. Once metropolitan status is included, the deprivation term is no longer associated with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