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  <w:sz w:val="24"/>
        </w:rPr>
        <w:t>Table 2. Negative Binomial Regression: Association Between SVI and Cardiac Imaging Facility Rates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Modality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Predictor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IRR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95% CI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p-value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N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AIC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Primary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SVI per 10-pctl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0.992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0.952 - 1.033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0.681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1,851.0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Primary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SVI per 10-pctl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1.020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0.989 - 1.053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0.213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3,071.3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Q2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0.949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0.682 - 1.320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0.756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1,854.3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Q3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1.049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0.764 - 1.442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0.766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--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CMR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Q4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0.928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0.667 - 1.290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0.655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--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Q2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1.204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0.926 - 1.564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0.166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3,072.1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Q3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1.310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1.015 - 1.690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--</w:t>
            </w:r>
          </w:p>
        </w:tc>
      </w:tr>
      <w:tr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Quartile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CCT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Q4 vs Q1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1.174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0.902 - 1.528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0.233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3,038</w:t>
            </w:r>
          </w:p>
        </w:tc>
        <w:tc>
          <w:tcPr>
            <w:tcW w:type="dxa" w:w="108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--</w:t>
            </w:r>
          </w:p>
        </w:tc>
      </w:tr>
    </w:tbl>
    <w:p/>
    <w:p>
      <w:r>
        <w:rPr>
          <w:rFonts w:ascii="Calibri" w:hAnsi="Calibri"/>
          <w:color w:val="444444"/>
          <w:sz w:val="17"/>
        </w:rPr>
        <w:t>Model: log(facility count) = B0 + B1*predictor + offset(ln[adults 45+]). Family: Negative Binomial (NB2).</w:t>
      </w:r>
    </w:p>
    <w:p>
      <w:r>
        <w:rPr>
          <w:rFonts w:ascii="Calibri" w:hAnsi="Calibri"/>
          <w:color w:val="444444"/>
          <w:sz w:val="17"/>
        </w:rPr>
        <w:t>IRR = Incidence Rate Ratio. CI = Confidence Interval. AIC = Akaike Information Criterion.</w:t>
      </w:r>
    </w:p>
    <w:p>
      <w:r>
        <w:rPr>
          <w:rFonts w:ascii="Calibri" w:hAnsi="Calibri"/>
          <w:color w:val="444444"/>
          <w:sz w:val="17"/>
        </w:rPr>
        <w:t>SVI per 10-pctl: IRR represents the multiplicative change in facility rate per 10-percentile increase in SVI.</w:t>
      </w:r>
    </w:p>
    <w:p>
      <w:r>
        <w:rPr>
          <w:rFonts w:ascii="Calibri" w:hAnsi="Calibri"/>
          <w:color w:val="444444"/>
          <w:sz w:val="17"/>
        </w:rPr>
        <w:t>Quartile reference group: Q1 (least vulnerable). Poisson rejected by AIC (delta-AIC &gt; 30).</w:t>
      </w:r>
    </w:p>
    <w:p>
      <w:r>
        <w:rPr>
          <w:rFonts w:ascii="Calibri" w:hAnsi="Calibri"/>
          <w:color w:val="444444"/>
          <w:sz w:val="17"/>
        </w:rPr>
        <w:t>Bold indicates p &lt; 0.05. CCT Q3 vs Q1 (p = 0.038) is isolated and non-monotonic; does not survive correction.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