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  <w:sz w:val="24"/>
        </w:rPr>
        <w:t>Table 3. Sensitivity Analyses: Stratified Models and Spearman Correlations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Analysis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Modality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Statistic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Value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p-value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Interpretation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Metro only (SVI)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CMR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IRR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1.005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0.82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No association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Metro only (SVI)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CCT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IRR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1.036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0.054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Borderline positive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Nonmetro only (SVI)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CMR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IRR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0.814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0.064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Borderline negative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Nonmetro only (SVI)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CCT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IRR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0.982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0.62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No association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Spearman (SVI)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CMR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rho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0.008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0.66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No correlation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Spearman (SVI)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CCT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rho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0.023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0.21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No correlation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Spearman (ADI)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CMR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rho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-0.172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&lt; 0.0001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Significant negative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Spearman (ADI)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CCT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rho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-0.163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&lt; 0.0001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Significant negative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Mann-Whitney U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CMR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Metro vs Nonmetro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0.35 vs 0.02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&lt; 0.0001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Metro &gt;&gt; Nonmetro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Mann-Whitney U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CCT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Metro vs Nonmetro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0.74 vs 0.35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&lt; 0.0001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Metro &gt;&gt; Nonmetro</w:t>
            </w:r>
          </w:p>
        </w:tc>
      </w:tr>
    </w:tbl>
    <w:p/>
    <w:p>
      <w:r>
        <w:rPr>
          <w:rFonts w:ascii="Calibri" w:hAnsi="Calibri"/>
          <w:color w:val="444444"/>
          <w:sz w:val="17"/>
        </w:rPr>
        <w:t>IRR = Incidence Rate Ratio per 10-percentile increase. Negative Binomial with population offset.</w:t>
      </w:r>
    </w:p>
    <w:p>
      <w:r>
        <w:rPr>
          <w:rFonts w:ascii="Calibri" w:hAnsi="Calibri"/>
          <w:color w:val="444444"/>
          <w:sz w:val="17"/>
        </w:rPr>
        <w:t>Spearman = non-parametric rank correlation between per-capita rate and predictor percentile.</w:t>
      </w:r>
    </w:p>
    <w:p>
      <w:r>
        <w:rPr>
          <w:rFonts w:ascii="Calibri" w:hAnsi="Calibri"/>
          <w:color w:val="444444"/>
          <w:sz w:val="17"/>
        </w:rPr>
        <w:t>Mann-Whitney U: values shown are mean rates per 100,000 adults 45+ for metro vs nonmetro counties.</w:t>
      </w:r>
    </w:p>
    <w:p>
      <w:r>
        <w:rPr>
          <w:rFonts w:ascii="Calibri" w:hAnsi="Calibri"/>
          <w:color w:val="444444"/>
          <w:sz w:val="17"/>
        </w:rPr>
        <w:t>Metro = RUCC 1-3. Nonmetro = RUCC 4-9. SVI = Social Vulnerability Index. ADI = Area Deprivation Index.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