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7E"/>
          <w:sz w:val="24"/>
        </w:rPr>
        <w:t>Table 4. Head-to-Head Comparison: SVI vs ADI as Predictors of Cardiac Imaging Access</w:t>
      </w:r>
    </w:p>
    <w:p>
      <w:r>
        <w:t>This table directly compares the two area-level deprivation measures across all analytic outcomes.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Metric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SVI (CMR)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ADI (CMR)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SVI (CCT)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ADI (CCT)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IRR (per 10-percentile)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0.992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0.937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1.020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0.979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95% Confidence Interval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0.952 - 1.033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0.900 - 0.976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0.989 - 1.053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0.949 - 1.010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p-value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0.681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0.002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0.213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0.177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Statistically Significant?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Spearman rho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0.008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-0.172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0.023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-0.163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Spearman p-value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0.66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&lt; 0.0001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0.21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&lt; 0.0001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AIC (model fit)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1,851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1,838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3,071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3,068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 (analytic sample)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3,038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3,029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3,038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3,029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Effect size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None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6.3% decrease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None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2.1% decrease (NS)</w:t>
            </w:r>
          </w:p>
        </w:tc>
      </w:tr>
    </w:tbl>
    <w:p/>
    <w:p>
      <w:r>
        <w:rPr>
          <w:b/>
          <w:sz w:val="20"/>
        </w:rPr>
        <w:t xml:space="preserve">Summary: </w:t>
      </w:r>
      <w:r>
        <w:rPr>
          <w:sz w:val="20"/>
        </w:rPr>
        <w:t>ADI outperforms SVI for CMR (lower AIC, significant IRR, stronger correlation). Neither predictor achieves significance for CCT in the regression model, though ADI shows stronger non-parametric correlations for both modalities.</w:t>
      </w:r>
    </w:p>
    <w:p/>
    <w:p>
      <w:r>
        <w:rPr>
          <w:rFonts w:ascii="Calibri" w:hAnsi="Calibri"/>
          <w:color w:val="444444"/>
          <w:sz w:val="17"/>
        </w:rPr>
        <w:t>SVI = CDC Social Vulnerability Index (16 variables across 4 themes: socioeconomic, household/disability, minority, housing/transport).</w:t>
      </w:r>
    </w:p>
    <w:p>
      <w:r>
        <w:rPr>
          <w:rFonts w:ascii="Calibri" w:hAnsi="Calibri"/>
          <w:color w:val="444444"/>
          <w:sz w:val="17"/>
        </w:rPr>
        <w:t>ADI = Area Deprivation Index (6 socioeconomic variables via PCA: poverty, unemployment, education, housing cost, income, child poverty).</w:t>
      </w:r>
    </w:p>
    <w:p>
      <w:r>
        <w:rPr>
          <w:rFonts w:ascii="Calibri" w:hAnsi="Calibri"/>
          <w:color w:val="444444"/>
          <w:sz w:val="17"/>
        </w:rPr>
        <w:t>IRR = Incidence Rate Ratio from Negative Binomial regression with offset ln(adults 45+).</w:t>
      </w:r>
    </w:p>
    <w:p>
      <w:r>
        <w:rPr>
          <w:rFonts w:ascii="Calibri" w:hAnsi="Calibri"/>
          <w:color w:val="444444"/>
          <w:sz w:val="17"/>
        </w:rPr>
        <w:t>AIC = Akaike Information Criterion (lower = better model fit). NS = not statistically significant.</w:t>
      </w:r>
    </w:p>
    <w:p>
      <w:r>
        <w:rPr>
          <w:rFonts w:ascii="Calibri" w:hAnsi="Calibri"/>
          <w:color w:val="444444"/>
          <w:sz w:val="17"/>
        </w:rPr>
        <w:t>Pearson correlation between SVI and ADI: r = 0.826 (overlapping but distinct constructs).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