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37E"/>
          <w:sz w:val="24"/>
        </w:rPr>
        <w:t>Supplementary Table. ADI Sensitivity Analysis: Regression Results and Quintile Stratification</w:t>
      </w:r>
    </w:p>
    <w:p>
      <w:r>
        <w:t>Area Deprivation Index constructed via Principal Component Analysis of 6 ACS socioeconomic indicators (first component explains 58.7% of variance). National percentile rank: 0 = least deprived, 100 = most deprived.</w:t>
      </w:r>
    </w:p>
    <w:p>
      <w:pPr>
        <w:pStyle w:val="Heading2"/>
      </w:pPr>
      <w:r>
        <w:t>A. Negative Binomial Regression Results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Modality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IRR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95% CI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p-value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NegBin AIC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Poisson AIC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Preferred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CMR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0.9373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0.900 - 0.976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0.0018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3,029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1831.0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1908.9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NegBin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CCT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0.9789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0.949 - 1.010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0.1767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3,029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3055.4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3083.2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NegBin</w:t>
            </w:r>
          </w:p>
        </w:tc>
      </w:tr>
    </w:tbl>
    <w:p/>
    <w:p>
      <w:pPr>
        <w:pStyle w:val="Heading2"/>
      </w:pPr>
      <w:r>
        <w:t>B. Mean Facility Rates by ADI Quintile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ADI Quintile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 Counties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CMR Rate (mean)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CMR Rate (SEM)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CCT Rate (mean)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CCT Rate (SEM)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Q1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Least deprived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606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0.2715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0.0361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0.6017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0.0595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Q2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Low-moderate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606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0.1491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0.0253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0.4034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0.0468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Q3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Moderate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605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0.1870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0.0305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0.5666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0.0752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Q4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Moderate-high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606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0.0806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0.0181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0.5970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0.0933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Q5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Most deprived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606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0.0622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0.0187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0.3437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0.0979</w:t>
            </w:r>
          </w:p>
        </w:tc>
      </w:tr>
      <w:tr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Q1/Q5 Ratio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Disparity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--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4.4x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--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1.8x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--</w:t>
            </w:r>
          </w:p>
        </w:tc>
      </w:tr>
    </w:tbl>
    <w:p/>
    <w:p>
      <w:r>
        <w:rPr>
          <w:rFonts w:ascii="Calibri" w:hAnsi="Calibri"/>
          <w:color w:val="444444"/>
          <w:sz w:val="17"/>
        </w:rPr>
        <w:t>Rate = ACR-accredited facilities per 100,000 adults aged 45+. SEM = Standard Error of the Mean.</w:t>
      </w:r>
    </w:p>
    <w:p>
      <w:r>
        <w:rPr>
          <w:rFonts w:ascii="Calibri" w:hAnsi="Calibri"/>
          <w:color w:val="444444"/>
          <w:sz w:val="17"/>
        </w:rPr>
        <w:t>Kruskal-Wallis test across quintiles: CMR p &lt; 0.0001; CCT p &lt; 0.0001.</w:t>
      </w:r>
    </w:p>
    <w:p>
      <w:r>
        <w:rPr>
          <w:rFonts w:ascii="Calibri" w:hAnsi="Calibri"/>
          <w:color w:val="444444"/>
          <w:sz w:val="17"/>
        </w:rPr>
        <w:t>ADI constructed via PCA of: % below 150% poverty, % unemployed, % no HS diploma, % housing cost-burdened, median household income (inverted), % children in poverty.</w:t>
      </w:r>
    </w:p>
    <w:p>
      <w:r>
        <w:rPr>
          <w:rFonts w:ascii="Calibri" w:hAnsi="Calibri"/>
          <w:color w:val="444444"/>
          <w:sz w:val="17"/>
        </w:rPr>
        <w:t>Source indicators from CDC SVI 2022 (county-level) and County Health Rankings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