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Geographic Disparities in Accredited Cardiac Imaging Across the United States: Social Vulnerability versus Economic Deprivation</w:t>
      </w:r>
    </w:p>
    <w:p>
      <w:pPr>
        <w:spacing w:after="240"/>
        <w:jc w:val="center"/>
      </w:pPr>
      <w:r>
        <w:t>Muhammad Naeem, MBBS, MD; Abdul Razak, PhD</w:t>
      </w:r>
    </w:p>
    <w:p>
      <w:pPr>
        <w:spacing w:before="240" w:after="120"/>
      </w:pPr>
      <w:r>
        <w:rPr>
          <w:b/>
          <w:sz w:val="22"/>
        </w:rPr>
        <w:t>MINI-FOCUS ISSUE</w:t>
      </w:r>
    </w:p>
    <w:p>
      <w:r>
        <w:rPr>
          <w:b/>
          <w:sz w:val="20"/>
        </w:rPr>
        <w:t xml:space="preserve">What is the clinical question being addressed? </w:t>
      </w:r>
      <w:r>
        <w:rPr>
          <w:i/>
          <w:sz w:val="20"/>
        </w:rPr>
        <w:t>Is US county-level cardiac imaging capacity linked to area disadvantage, and does the choice of deprivation index change the answer?</w:t>
      </w:r>
    </w:p>
    <w:p>
      <w:pPr>
        <w:spacing w:after="120"/>
      </w:pPr>
      <w:r>
        <w:rPr>
          <w:b/>
          <w:sz w:val="20"/>
        </w:rPr>
        <w:t xml:space="preserve">What is the main finding? </w:t>
      </w:r>
      <w:r>
        <w:rPr>
          <w:i/>
          <w:sz w:val="20"/>
        </w:rPr>
        <w:t>Capacity is overwhelmingly metropolitan; social vulnerability showed no association, but economic deprivation predicted lower cardiac MRI capacity.</w:t>
      </w:r>
    </w:p>
    <w:p>
      <w:pPr>
        <w:spacing w:before="240" w:after="120"/>
      </w:pPr>
      <w:r>
        <w:rPr>
          <w:b/>
          <w:sz w:val="22"/>
        </w:rPr>
        <w:t>INTRODUCTION</w:t>
      </w:r>
    </w:p>
    <w:p>
      <w:pPr>
        <w:spacing w:after="0"/>
        <w:ind w:firstLine="720"/>
      </w:pPr>
      <w:r>
        <w:t>Cardiovascular mortality varies across the United States, and rural and economically disadvantaged populations carry higher rates than other groups (1). Two advanced cardiac imaging tests, cardiac magnetic resonance (CMR) and cardiac computed tomography (CCT), are increasingly used to guide diagnosis and treatment. Under the Deficit Reduction Act of 2005, a facility must hold American College of Radiology (ACR) or equivalent accreditation to bill Medicare for these tests, so the location of accredited facilities reflects where the services are realistically available. Health equity research often measures local disadvantage with the CDC/ATSDR Social Vulnerability Index (SVI) (2). Whether the SVI captures access to imaging infrastructure as well as an index designed around economic deprivation has not been tested. We assessed how accredited CMR and CCT capacity is distributed across US counties and whether that distribution is related to social vulnerability, economic deprivation, and rurality.</w:t>
      </w:r>
    </w:p>
    <w:p>
      <w:pPr>
        <w:spacing w:before="240" w:after="120"/>
      </w:pPr>
      <w:r>
        <w:rPr>
          <w:b/>
          <w:sz w:val="22"/>
        </w:rPr>
        <w:t>METHODS</w:t>
      </w:r>
    </w:p>
    <w:p>
      <w:pPr>
        <w:spacing w:after="0"/>
        <w:ind w:firstLine="720"/>
      </w:pPr>
      <w:r>
        <w:t>We conducted a cross-sectional ecologic analysis of all 3,144 US counties (50 states plus the District of Columbia). Accredited CMR and CCT facilities were identified from the ACR accredited-facility registry (accessed 2024) and aggregated to the county level using Federal Information Processing Standards codes. Per-capita facility rates were expressed per 100,000 adults aged 45 years or older, derived from the American Community Survey 5-year estimates. Counties with fewer than 1,000 eligible adults were excluded from regression analyses to avoid unstable rate estimates (final analytic sample: n = 3,038 for SVI models and n = 3,029 for ADI models).</w:t>
      </w:r>
    </w:p>
    <w:p>
      <w:pPr>
        <w:spacing w:after="0"/>
        <w:ind w:firstLine="720"/>
      </w:pPr>
      <w:r>
        <w:t>Area disadvantage was measured using two complementary indices. The primary predictor was the 2022 CDC/ATSDR Social Vulnerability Index, a composite of 16 census variables spanning four themes (socioeconomic status, household characteristics, racial/ethnic minority status, and housing type/transportation) originally designed for disaster preparedness planning (2). The secondary predictor was a county-level Area Deprivation Index (ADI) constructed for this analysis by principal component analysis of six American Community Survey socioeconomic indicators: percentage below the poverty line, median household income, percentage with less than high school education, percentage unemployed, percentage lacking health insurance, and percentage receiving public assistance. This approach follows established methodology for constructing area deprivation measures (3) and was necessary because no validated county-level deprivation index product currently exists. The first principal component explained 58.7% of variance; scores were converted to national percentiles (0 to 100) for interpretability.</w:t>
      </w:r>
    </w:p>
    <w:p>
      <w:pPr>
        <w:spacing w:after="0"/>
        <w:ind w:firstLine="720"/>
      </w:pPr>
      <w:r>
        <w:t>Metropolitan versus nonmetropolitan classification used the United States Department of Agriculture Rural-Urban Continuum Codes (2023 edition; codes 1 to 3 = metropolitan). Facility counts were modeled with negative binomial generalized linear models using a log-transformed population offset to account for county size differences. Incidence rate ratios (IRRs) were expressed per 10-unit (percentile) increase in each index. Nonparametric analyses included Spearman rank correlations between index scores and facility rates, Kruskal-Wallis tests across ADI quintiles, and Mann-Whitney U tests comparing metropolitan and nonmetropolitan counties. A two-sided P &lt; 0.05 was considered statistically significant. All analyses were performed in Python 3.11 using statsmodels (version 0.14) and scipy (version 1.11). This study used only publicly available, aggregate data and was determined not to constitute human subjects research; institutional review board approval was therefore not required.</w:t>
      </w:r>
    </w:p>
    <w:p>
      <w:pPr>
        <w:spacing w:before="240" w:after="120"/>
      </w:pPr>
      <w:r>
        <w:rPr>
          <w:b/>
          <w:sz w:val="22"/>
        </w:rPr>
        <w:t>RESULTS</w:t>
      </w:r>
    </w:p>
    <w:p>
      <w:pPr>
        <w:spacing w:after="0"/>
        <w:ind w:firstLine="720"/>
      </w:pPr>
      <w:r>
        <w:t>A total of 687 accredited CMR and 1,481 accredited CCT facilities were identified. CMR was present in only 289 of 3,144 counties (9.19%), CCT in 532 (16.92%), and 1,974 counties (62.28%) had no accredited facility for either modality. Advanced cardiac imaging capacity was overwhelmingly concentrated in metropolitan counties: 98.11% of all CMR facilities and 92.44% of all CCT facilities were located within the 37.72% of counties classified as metropolitan. Mean facility rates in metropolitan versus nonmetropolitan counties were 0.3480 versus 0.0236 per 100,000 adults for CMR and 0.7323 versus 0.3540 for CCT (Mann-Whitney P &lt; 0.001 for both; Table 1).</w:t>
      </w:r>
    </w:p>
    <w:p>
      <w:pPr>
        <w:spacing w:after="0"/>
        <w:ind w:firstLine="720"/>
      </w:pPr>
      <w:r>
        <w:t>In negative binomial regression, the SVI was not associated with facility capacity for either modality (Table 1; Figure 1B). The CMR IRR was 0.9915 (95% CI, 0.9521 to 1.0325; P = 0.6808) and the CCT IRR was 1.0203 (95% CI, 0.9885 to 1.0530; P = 0.2130). Spearman correlations confirmed the absence of a monotonic relationship (CMR: rho = 0.0079, P = 0.6646; CCT: rho = 0.0201, P = 0.2681).</w:t>
      </w:r>
    </w:p>
    <w:p>
      <w:pPr>
        <w:spacing w:after="0"/>
        <w:ind w:firstLine="720"/>
      </w:pPr>
      <w:r>
        <w:t>In contrast, higher area deprivation was significantly associated with lower CMR capacity (IRR 0.9373, 95% CI, 0.9000 to 0.9762; P = 0.0018), corresponding to a 6.3% reduction in the facility rate for each 10-percentile increase in deprivation. The association for CCT did not reach statistical significance (IRR 0.9789, 95% CI, 0.9490 to 1.0097; P = 0.1767). CMR rates fell monotonically across ADI quintiles, from 0.2715 per 100,000 in the least-deprived quintile (Q1) to 0.0622 in the most-deprived quintile (Q5), representing a 4.37-fold gradient (Kruskal-Wallis P &lt; 0.001). Counties lacking any accredited facility had significantly higher mean deprivation scores than counties with at least one facility (58.2 versus 41.7; P &lt; 0.001). Despite the two indices being strongly correlated (Pearson r = 0.8209), they yielded divergent conclusions regarding cardiac imaging access (Figure 1).</w:t>
      </w:r>
    </w:p>
    <w:p>
      <w:pPr>
        <w:spacing w:before="240" w:after="80"/>
      </w:pPr>
      <w:r>
        <w:rPr>
          <w:b/>
          <w:sz w:val="20"/>
        </w:rPr>
        <w:t xml:space="preserve">Table 1. </w:t>
      </w:r>
      <w:r>
        <w:rPr>
          <w:sz w:val="20"/>
        </w:rPr>
        <w:t>Accredited Cardiac Imaging Capacity and Association With Area Disadvantage</w:t>
      </w:r>
    </w:p>
    <w:tbl>
      <w:tblPr>
        <w:tblStyle w:val="LightShading-Accent1"/>
        <w:tblW w:type="auto" w:w="0"/>
        <w:jc w:val="center"/>
        <w:tblLook w:firstColumn="1" w:firstRow="1" w:lastColumn="0" w:lastRow="0" w:noHBand="0" w:noVBand="1" w:val="04A0"/>
      </w:tblPr>
      <w:tblGrid>
        <w:gridCol w:w="3120"/>
        <w:gridCol w:w="3120"/>
        <w:gridCol w:w="3120"/>
      </w:tblGrid>
      <w:tr>
        <w:tc>
          <w:tcPr>
            <w:tcW w:type="dxa" w:w="4252"/>
          </w:tcPr>
          <w:p>
            <w:pPr>
              <w:spacing w:before="20" w:after="20"/>
              <w:jc w:val="center"/>
            </w:pPr>
            <w:r/>
            <w:r>
              <w:rPr>
                <w:rFonts w:ascii="Times New Roman" w:hAnsi="Times New Roman"/>
                <w:b/>
                <w:sz w:val="18"/>
              </w:rPr>
            </w:r>
          </w:p>
        </w:tc>
        <w:tc>
          <w:tcPr>
            <w:tcW w:type="dxa" w:w="2551"/>
          </w:tcPr>
          <w:p>
            <w:pPr>
              <w:spacing w:before="20" w:after="20"/>
              <w:jc w:val="center"/>
            </w:pPr>
            <w:r/>
            <w:r>
              <w:rPr>
                <w:rFonts w:ascii="Times New Roman" w:hAnsi="Times New Roman"/>
                <w:b/>
                <w:sz w:val="18"/>
              </w:rPr>
              <w:t>CMR</w:t>
            </w:r>
          </w:p>
        </w:tc>
        <w:tc>
          <w:tcPr>
            <w:tcW w:type="dxa" w:w="2551"/>
          </w:tcPr>
          <w:p>
            <w:pPr>
              <w:spacing w:before="20" w:after="20"/>
              <w:jc w:val="center"/>
            </w:pPr>
            <w:r/>
            <w:r>
              <w:rPr>
                <w:rFonts w:ascii="Times New Roman" w:hAnsi="Times New Roman"/>
                <w:b/>
                <w:sz w:val="18"/>
              </w:rPr>
              <w:t>CCT</w:t>
            </w:r>
          </w:p>
        </w:tc>
      </w:tr>
      <w:tr>
        <w:tc>
          <w:tcPr>
            <w:tcW w:type="dxa" w:w="4252"/>
          </w:tcPr>
          <w:p>
            <w:pPr>
              <w:spacing w:before="20" w:after="20"/>
              <w:jc w:val="left"/>
            </w:pPr>
            <w:r/>
            <w:r>
              <w:rPr>
                <w:rFonts w:ascii="Times New Roman" w:hAnsi="Times New Roman"/>
                <w:sz w:val="18"/>
              </w:rPr>
              <w:t>Accredited facilities, n</w:t>
            </w:r>
          </w:p>
        </w:tc>
        <w:tc>
          <w:tcPr>
            <w:tcW w:type="dxa" w:w="2551"/>
          </w:tcPr>
          <w:p>
            <w:pPr>
              <w:spacing w:before="20" w:after="20"/>
              <w:jc w:val="center"/>
            </w:pPr>
            <w:r/>
            <w:r>
              <w:rPr>
                <w:rFonts w:ascii="Times New Roman" w:hAnsi="Times New Roman"/>
                <w:sz w:val="18"/>
              </w:rPr>
              <w:t>687</w:t>
            </w:r>
          </w:p>
        </w:tc>
        <w:tc>
          <w:tcPr>
            <w:tcW w:type="dxa" w:w="2551"/>
          </w:tcPr>
          <w:p>
            <w:pPr>
              <w:spacing w:before="20" w:after="20"/>
              <w:jc w:val="center"/>
            </w:pPr>
            <w:r/>
            <w:r>
              <w:rPr>
                <w:rFonts w:ascii="Times New Roman" w:hAnsi="Times New Roman"/>
                <w:sz w:val="18"/>
              </w:rPr>
              <w:t>1,481</w:t>
            </w:r>
          </w:p>
        </w:tc>
      </w:tr>
      <w:tr>
        <w:tc>
          <w:tcPr>
            <w:tcW w:type="dxa" w:w="4252"/>
          </w:tcPr>
          <w:p>
            <w:pPr>
              <w:spacing w:before="20" w:after="20"/>
              <w:jc w:val="left"/>
            </w:pPr>
            <w:r/>
            <w:r>
              <w:rPr>
                <w:rFonts w:ascii="Times New Roman" w:hAnsi="Times New Roman"/>
                <w:sz w:val="18"/>
              </w:rPr>
              <w:t>Counties with ≥1 facility, n (%)</w:t>
            </w:r>
          </w:p>
        </w:tc>
        <w:tc>
          <w:tcPr>
            <w:tcW w:type="dxa" w:w="2551"/>
          </w:tcPr>
          <w:p>
            <w:pPr>
              <w:spacing w:before="20" w:after="20"/>
              <w:jc w:val="center"/>
            </w:pPr>
            <w:r/>
            <w:r>
              <w:rPr>
                <w:rFonts w:ascii="Times New Roman" w:hAnsi="Times New Roman"/>
                <w:sz w:val="18"/>
              </w:rPr>
              <w:t>289 (9.19%)</w:t>
            </w:r>
          </w:p>
        </w:tc>
        <w:tc>
          <w:tcPr>
            <w:tcW w:type="dxa" w:w="2551"/>
          </w:tcPr>
          <w:p>
            <w:pPr>
              <w:spacing w:before="20" w:after="20"/>
              <w:jc w:val="center"/>
            </w:pPr>
            <w:r/>
            <w:r>
              <w:rPr>
                <w:rFonts w:ascii="Times New Roman" w:hAnsi="Times New Roman"/>
                <w:sz w:val="18"/>
              </w:rPr>
              <w:t>532 (16.92%)</w:t>
            </w:r>
          </w:p>
        </w:tc>
      </w:tr>
      <w:tr>
        <w:tc>
          <w:tcPr>
            <w:tcW w:type="dxa" w:w="4252"/>
          </w:tcPr>
          <w:p>
            <w:pPr>
              <w:spacing w:before="20" w:after="20"/>
              <w:jc w:val="left"/>
            </w:pPr>
            <w:r/>
            <w:r>
              <w:rPr>
                <w:rFonts w:ascii="Times New Roman" w:hAnsi="Times New Roman"/>
                <w:sz w:val="18"/>
              </w:rPr>
              <w:t>Counties with neither modality, n (%)</w:t>
            </w:r>
          </w:p>
        </w:tc>
        <w:tc>
          <w:tcPr>
            <w:tcW w:type="dxa" w:w="2551"/>
          </w:tcPr>
          <w:p>
            <w:pPr>
              <w:spacing w:before="20" w:after="20"/>
              <w:jc w:val="center"/>
            </w:pPr>
            <w:r/>
            <w:r>
              <w:rPr>
                <w:rFonts w:ascii="Times New Roman" w:hAnsi="Times New Roman"/>
                <w:sz w:val="18"/>
              </w:rPr>
              <w:t>1,974 (62.28%)</w:t>
            </w:r>
          </w:p>
        </w:tc>
        <w:tc>
          <w:tcPr>
            <w:tcW w:type="dxa" w:w="2551"/>
          </w:tcPr>
          <w:p>
            <w:pPr>
              <w:spacing w:before="20" w:after="20"/>
              <w:jc w:val="center"/>
            </w:pPr>
            <w:r/>
            <w:r>
              <w:rPr>
                <w:rFonts w:ascii="Times New Roman" w:hAnsi="Times New Roman"/>
                <w:sz w:val="18"/>
              </w:rPr>
              <w:t>—</w:t>
            </w:r>
          </w:p>
        </w:tc>
      </w:tr>
      <w:tr>
        <w:tc>
          <w:tcPr>
            <w:tcW w:type="dxa" w:w="4252"/>
          </w:tcPr>
          <w:p>
            <w:pPr>
              <w:spacing w:before="20" w:after="20"/>
              <w:jc w:val="left"/>
            </w:pPr>
            <w:r/>
            <w:r>
              <w:rPr>
                <w:rFonts w:ascii="Times New Roman" w:hAnsi="Times New Roman"/>
                <w:sz w:val="18"/>
              </w:rPr>
              <w:t>Facilities in metro counties, %</w:t>
            </w:r>
          </w:p>
        </w:tc>
        <w:tc>
          <w:tcPr>
            <w:tcW w:type="dxa" w:w="2551"/>
          </w:tcPr>
          <w:p>
            <w:pPr>
              <w:spacing w:before="20" w:after="20"/>
              <w:jc w:val="center"/>
            </w:pPr>
            <w:r/>
            <w:r>
              <w:rPr>
                <w:rFonts w:ascii="Times New Roman" w:hAnsi="Times New Roman"/>
                <w:sz w:val="18"/>
              </w:rPr>
              <w:t>98.11</w:t>
            </w:r>
          </w:p>
        </w:tc>
        <w:tc>
          <w:tcPr>
            <w:tcW w:type="dxa" w:w="2551"/>
          </w:tcPr>
          <w:p>
            <w:pPr>
              <w:spacing w:before="20" w:after="20"/>
              <w:jc w:val="center"/>
            </w:pPr>
            <w:r/>
            <w:r>
              <w:rPr>
                <w:rFonts w:ascii="Times New Roman" w:hAnsi="Times New Roman"/>
                <w:sz w:val="18"/>
              </w:rPr>
              <w:t>92.44</w:t>
            </w:r>
          </w:p>
        </w:tc>
      </w:tr>
      <w:tr>
        <w:tc>
          <w:tcPr>
            <w:tcW w:type="dxa" w:w="4252"/>
          </w:tcPr>
          <w:p>
            <w:pPr>
              <w:spacing w:before="20" w:after="20"/>
              <w:jc w:val="left"/>
            </w:pPr>
            <w:r/>
            <w:r>
              <w:rPr>
                <w:rFonts w:ascii="Times New Roman" w:hAnsi="Times New Roman"/>
                <w:sz w:val="18"/>
              </w:rPr>
              <w:t>Mean rate, metro (per 100k)</w:t>
            </w:r>
          </w:p>
        </w:tc>
        <w:tc>
          <w:tcPr>
            <w:tcW w:type="dxa" w:w="2551"/>
          </w:tcPr>
          <w:p>
            <w:pPr>
              <w:spacing w:before="20" w:after="20"/>
              <w:jc w:val="center"/>
            </w:pPr>
            <w:r/>
            <w:r>
              <w:rPr>
                <w:rFonts w:ascii="Times New Roman" w:hAnsi="Times New Roman"/>
                <w:sz w:val="18"/>
              </w:rPr>
              <w:t>0.3480</w:t>
            </w:r>
          </w:p>
        </w:tc>
        <w:tc>
          <w:tcPr>
            <w:tcW w:type="dxa" w:w="2551"/>
          </w:tcPr>
          <w:p>
            <w:pPr>
              <w:spacing w:before="20" w:after="20"/>
              <w:jc w:val="center"/>
            </w:pPr>
            <w:r/>
            <w:r>
              <w:rPr>
                <w:rFonts w:ascii="Times New Roman" w:hAnsi="Times New Roman"/>
                <w:sz w:val="18"/>
              </w:rPr>
              <w:t>0.7323</w:t>
            </w:r>
          </w:p>
        </w:tc>
      </w:tr>
      <w:tr>
        <w:tc>
          <w:tcPr>
            <w:tcW w:type="dxa" w:w="4252"/>
          </w:tcPr>
          <w:p>
            <w:pPr>
              <w:spacing w:before="20" w:after="20"/>
              <w:jc w:val="left"/>
            </w:pPr>
            <w:r/>
            <w:r>
              <w:rPr>
                <w:rFonts w:ascii="Times New Roman" w:hAnsi="Times New Roman"/>
                <w:sz w:val="18"/>
              </w:rPr>
              <w:t>Mean rate, nonmetro (per 100k)</w:t>
            </w:r>
          </w:p>
        </w:tc>
        <w:tc>
          <w:tcPr>
            <w:tcW w:type="dxa" w:w="2551"/>
          </w:tcPr>
          <w:p>
            <w:pPr>
              <w:spacing w:before="20" w:after="20"/>
              <w:jc w:val="center"/>
            </w:pPr>
            <w:r/>
            <w:r>
              <w:rPr>
                <w:rFonts w:ascii="Times New Roman" w:hAnsi="Times New Roman"/>
                <w:sz w:val="18"/>
              </w:rPr>
              <w:t>0.0236</w:t>
            </w:r>
          </w:p>
        </w:tc>
        <w:tc>
          <w:tcPr>
            <w:tcW w:type="dxa" w:w="2551"/>
          </w:tcPr>
          <w:p>
            <w:pPr>
              <w:spacing w:before="20" w:after="20"/>
              <w:jc w:val="center"/>
            </w:pPr>
            <w:r/>
            <w:r>
              <w:rPr>
                <w:rFonts w:ascii="Times New Roman" w:hAnsi="Times New Roman"/>
                <w:sz w:val="18"/>
              </w:rPr>
              <w:t>0.3540</w:t>
            </w:r>
          </w:p>
        </w:tc>
      </w:tr>
      <w:tr>
        <w:tc>
          <w:tcPr>
            <w:tcW w:type="dxa" w:w="4252"/>
          </w:tcPr>
          <w:p>
            <w:pPr>
              <w:spacing w:before="20" w:after="20"/>
              <w:jc w:val="left"/>
            </w:pPr>
            <w:r/>
            <w:r>
              <w:rPr>
                <w:rFonts w:ascii="Times New Roman" w:hAnsi="Times New Roman"/>
                <w:sz w:val="18"/>
              </w:rPr>
              <w:t>Metro vs nonmetro, P value</w:t>
            </w:r>
          </w:p>
        </w:tc>
        <w:tc>
          <w:tcPr>
            <w:tcW w:type="dxa" w:w="2551"/>
          </w:tcPr>
          <w:p>
            <w:pPr>
              <w:spacing w:before="20" w:after="20"/>
              <w:jc w:val="center"/>
            </w:pPr>
            <w:r/>
            <w:r>
              <w:rPr>
                <w:rFonts w:ascii="Times New Roman" w:hAnsi="Times New Roman"/>
                <w:b/>
                <w:sz w:val="18"/>
              </w:rPr>
              <w:t>&lt;0.001</w:t>
            </w:r>
          </w:p>
        </w:tc>
        <w:tc>
          <w:tcPr>
            <w:tcW w:type="dxa" w:w="2551"/>
          </w:tcPr>
          <w:p>
            <w:pPr>
              <w:spacing w:before="20" w:after="20"/>
              <w:jc w:val="center"/>
            </w:pPr>
            <w:r/>
            <w:r>
              <w:rPr>
                <w:rFonts w:ascii="Times New Roman" w:hAnsi="Times New Roman"/>
                <w:b/>
                <w:sz w:val="18"/>
              </w:rPr>
              <w:t>&lt;0.001</w:t>
            </w:r>
          </w:p>
        </w:tc>
      </w:tr>
      <w:tr>
        <w:tc>
          <w:tcPr>
            <w:tcW w:type="dxa" w:w="4252"/>
          </w:tcPr>
          <w:p>
            <w:pPr>
              <w:spacing w:before="20" w:after="20"/>
              <w:jc w:val="left"/>
            </w:pPr>
            <w:r/>
            <w:r>
              <w:rPr>
                <w:rFonts w:ascii="Times New Roman" w:hAnsi="Times New Roman"/>
                <w:sz w:val="18"/>
              </w:rPr>
              <w:t>SVI: IRR (95% CI)</w:t>
            </w:r>
          </w:p>
        </w:tc>
        <w:tc>
          <w:tcPr>
            <w:tcW w:type="dxa" w:w="2551"/>
          </w:tcPr>
          <w:p>
            <w:pPr>
              <w:spacing w:before="20" w:after="20"/>
              <w:jc w:val="center"/>
            </w:pPr>
            <w:r/>
            <w:r>
              <w:rPr>
                <w:rFonts w:ascii="Times New Roman" w:hAnsi="Times New Roman"/>
                <w:sz w:val="18"/>
              </w:rPr>
              <w:t>0.99 (0.95 to 1.03)</w:t>
            </w:r>
          </w:p>
        </w:tc>
        <w:tc>
          <w:tcPr>
            <w:tcW w:type="dxa" w:w="2551"/>
          </w:tcPr>
          <w:p>
            <w:pPr>
              <w:spacing w:before="20" w:after="20"/>
              <w:jc w:val="center"/>
            </w:pPr>
            <w:r/>
            <w:r>
              <w:rPr>
                <w:rFonts w:ascii="Times New Roman" w:hAnsi="Times New Roman"/>
                <w:sz w:val="18"/>
              </w:rPr>
              <w:t>1.02 (0.99 to 1.05)</w:t>
            </w:r>
          </w:p>
        </w:tc>
      </w:tr>
      <w:tr>
        <w:tc>
          <w:tcPr>
            <w:tcW w:type="dxa" w:w="4252"/>
          </w:tcPr>
          <w:p>
            <w:pPr>
              <w:spacing w:before="20" w:after="20"/>
              <w:jc w:val="left"/>
            </w:pPr>
            <w:r/>
            <w:r>
              <w:rPr>
                <w:rFonts w:ascii="Times New Roman" w:hAnsi="Times New Roman"/>
                <w:sz w:val="18"/>
              </w:rPr>
              <w:t>SVI: P value</w:t>
            </w:r>
          </w:p>
        </w:tc>
        <w:tc>
          <w:tcPr>
            <w:tcW w:type="dxa" w:w="2551"/>
          </w:tcPr>
          <w:p>
            <w:pPr>
              <w:spacing w:before="20" w:after="20"/>
              <w:jc w:val="center"/>
            </w:pPr>
            <w:r/>
            <w:r>
              <w:rPr>
                <w:rFonts w:ascii="Times New Roman" w:hAnsi="Times New Roman"/>
                <w:sz w:val="18"/>
              </w:rPr>
              <w:t>0.6808</w:t>
            </w:r>
          </w:p>
        </w:tc>
        <w:tc>
          <w:tcPr>
            <w:tcW w:type="dxa" w:w="2551"/>
          </w:tcPr>
          <w:p>
            <w:pPr>
              <w:spacing w:before="20" w:after="20"/>
              <w:jc w:val="center"/>
            </w:pPr>
            <w:r/>
            <w:r>
              <w:rPr>
                <w:rFonts w:ascii="Times New Roman" w:hAnsi="Times New Roman"/>
                <w:sz w:val="18"/>
              </w:rPr>
              <w:t>0.2130</w:t>
            </w:r>
          </w:p>
        </w:tc>
      </w:tr>
      <w:tr>
        <w:tc>
          <w:tcPr>
            <w:tcW w:type="dxa" w:w="4252"/>
          </w:tcPr>
          <w:p>
            <w:pPr>
              <w:spacing w:before="20" w:after="20"/>
              <w:jc w:val="left"/>
            </w:pPr>
            <w:r/>
            <w:r>
              <w:rPr>
                <w:rFonts w:ascii="Times New Roman" w:hAnsi="Times New Roman"/>
                <w:sz w:val="18"/>
              </w:rPr>
              <w:t>ADI: IRR (95% CI)</w:t>
            </w:r>
          </w:p>
        </w:tc>
        <w:tc>
          <w:tcPr>
            <w:tcW w:type="dxa" w:w="2551"/>
          </w:tcPr>
          <w:p>
            <w:pPr>
              <w:spacing w:before="20" w:after="20"/>
              <w:jc w:val="center"/>
            </w:pPr>
            <w:r/>
            <w:r>
              <w:rPr>
                <w:rFonts w:ascii="Times New Roman" w:hAnsi="Times New Roman"/>
                <w:sz w:val="18"/>
              </w:rPr>
              <w:t>0.94 (0.90 to 0.98)</w:t>
            </w:r>
          </w:p>
        </w:tc>
        <w:tc>
          <w:tcPr>
            <w:tcW w:type="dxa" w:w="2551"/>
          </w:tcPr>
          <w:p>
            <w:pPr>
              <w:spacing w:before="20" w:after="20"/>
              <w:jc w:val="center"/>
            </w:pPr>
            <w:r/>
            <w:r>
              <w:rPr>
                <w:rFonts w:ascii="Times New Roman" w:hAnsi="Times New Roman"/>
                <w:sz w:val="18"/>
              </w:rPr>
              <w:t>0.98 (0.95 to 1.01)</w:t>
            </w:r>
          </w:p>
        </w:tc>
      </w:tr>
      <w:tr>
        <w:tc>
          <w:tcPr>
            <w:tcW w:type="dxa" w:w="4252"/>
          </w:tcPr>
          <w:p>
            <w:pPr>
              <w:spacing w:before="20" w:after="20"/>
              <w:jc w:val="left"/>
            </w:pPr>
            <w:r/>
            <w:r>
              <w:rPr>
                <w:rFonts w:ascii="Times New Roman" w:hAnsi="Times New Roman"/>
                <w:sz w:val="18"/>
              </w:rPr>
              <w:t>ADI: P value</w:t>
            </w:r>
          </w:p>
        </w:tc>
        <w:tc>
          <w:tcPr>
            <w:tcW w:type="dxa" w:w="2551"/>
          </w:tcPr>
          <w:p>
            <w:pPr>
              <w:spacing w:before="20" w:after="20"/>
              <w:jc w:val="center"/>
            </w:pPr>
            <w:r/>
            <w:r>
              <w:rPr>
                <w:rFonts w:ascii="Times New Roman" w:hAnsi="Times New Roman"/>
                <w:b/>
                <w:sz w:val="18"/>
              </w:rPr>
              <w:t>0.0018</w:t>
            </w:r>
          </w:p>
        </w:tc>
        <w:tc>
          <w:tcPr>
            <w:tcW w:type="dxa" w:w="2551"/>
          </w:tcPr>
          <w:p>
            <w:pPr>
              <w:spacing w:before="20" w:after="20"/>
              <w:jc w:val="center"/>
            </w:pPr>
            <w:r/>
            <w:r>
              <w:rPr>
                <w:rFonts w:ascii="Times New Roman" w:hAnsi="Times New Roman"/>
                <w:sz w:val="18"/>
              </w:rPr>
              <w:t>0.1767</w:t>
            </w:r>
          </w:p>
        </w:tc>
      </w:tr>
    </w:tbl>
    <w:p>
      <w:pPr>
        <w:spacing w:before="40" w:after="240"/>
      </w:pPr>
      <w:r>
        <w:rPr>
          <w:i/>
          <w:sz w:val="16"/>
        </w:rPr>
        <w:t>Values are per 100,000 adults aged ≥45 years. IRR = incidence rate ratio per 10-percentile increase; CI = confidence interval. Bold P values indicate statistical significance (P &lt; 0.05).</w:t>
      </w:r>
    </w:p>
    <w:p>
      <w:pPr>
        <w:spacing w:before="120" w:after="120"/>
        <w:jc w:val="center"/>
      </w:pPr>
      <w:r>
        <w:drawing>
          <wp:inline xmlns:a="http://schemas.openxmlformats.org/drawingml/2006/main" xmlns:pic="http://schemas.openxmlformats.org/drawingml/2006/picture">
            <wp:extent cx="5486400" cy="5918121"/>
            <wp:docPr id="1" name="Picture 1"/>
            <wp:cNvGraphicFramePr>
              <a:graphicFrameLocks noChangeAspect="1"/>
            </wp:cNvGraphicFramePr>
            <a:graphic>
              <a:graphicData uri="http://schemas.openxmlformats.org/drawingml/2006/picture">
                <pic:pic>
                  <pic:nvPicPr>
                    <pic:cNvPr id="0" name="Figure1_JACC_Publication.tiff"/>
                    <pic:cNvPicPr/>
                  </pic:nvPicPr>
                  <pic:blipFill>
                    <a:blip r:embed="rId9"/>
                    <a:stretch>
                      <a:fillRect/>
                    </a:stretch>
                  </pic:blipFill>
                  <pic:spPr>
                    <a:xfrm>
                      <a:off x="0" y="0"/>
                      <a:ext cx="5486400" cy="5918121"/>
                    </a:xfrm>
                    <a:prstGeom prst="rect"/>
                  </pic:spPr>
                </pic:pic>
              </a:graphicData>
            </a:graphic>
          </wp:inline>
        </w:drawing>
      </w:r>
    </w:p>
    <w:p>
      <w:pPr>
        <w:spacing w:before="240" w:after="120"/>
      </w:pPr>
      <w:r>
        <w:rPr>
          <w:b/>
          <w:sz w:val="22"/>
        </w:rPr>
        <w:t>DISCUSSION</w:t>
      </w:r>
    </w:p>
    <w:p>
      <w:pPr>
        <w:spacing w:after="0"/>
        <w:ind w:firstLine="720"/>
      </w:pPr>
      <w:r>
        <w:t>Accredited advanced cardiac imaging in the United States is concentrated in metropolitan, economically advantaged counties. Most counties, and the rural populations they contain, have little or no accredited capacity. The SVI did not detect this disparity, but an economically focused deprivation index did, at least for CMR. The SVI combines economic disadvantage with several non-economic domains, including minority status, household composition, housing, and transportation, and was designed for disaster preparedness rather than for measuring healthcare access. That breadth may obscure the economic signal that most affects where capital-intensive imaging is placed. The association with deprivation was present for CMR but not for the more widely available CCT, which is consistent with the higher cost of establishing CMR, including dedicated equipment, specialized staff, and interpreting physicians. This pattern agrees with prior work showing that economic deprivation predicts access to accredited imaging facilities (4). The counties with the least imaging capacity overlap with regions that have documented excess cardiovascular mortality (1,5), although the analysis did not link imaging supply to patient outcomes and does not support a causal interpretation.</w:t>
      </w:r>
    </w:p>
    <w:p>
      <w:pPr>
        <w:spacing w:before="240" w:after="120"/>
      </w:pPr>
      <w:r>
        <w:rPr>
          <w:b/>
          <w:sz w:val="22"/>
        </w:rPr>
        <w:t>LIMITATIONS</w:t>
      </w:r>
    </w:p>
    <w:p>
      <w:pPr>
        <w:spacing w:after="0"/>
        <w:ind w:firstLine="720"/>
      </w:pPr>
      <w:r>
        <w:t>This study has limitations. The ecologic, cross-sectional design does not support conclusions about individual patients or about causation. Only ACR-accredited facilities were counted, and facilities accredited by other organizations may fill some gaps. The county-level deprivation index was built for this analysis from published methods and has not been validated against patient outcomes. Travel distance, access to facilities in adjacent counties, and local disease burden were not measured. Two indices that were strongly correlated produced opposite results, so the choice of index determines which disparities are visible. Targeting resources by social vulnerability alone may miss the economic gaps in cardiac imaging capacity found here. Whether incentives modeled on shortage-area designations could expand accredited capacity in high-deprivation and rural counties should be tested directly.</w:t>
      </w:r>
    </w:p>
    <w:p>
      <w:pPr>
        <w:spacing w:before="240" w:after="120"/>
      </w:pPr>
      <w:r>
        <w:rPr>
          <w:b/>
          <w:sz w:val="22"/>
        </w:rPr>
        <w:t>DATA AVAILABILITY</w:t>
      </w:r>
    </w:p>
    <w:p>
      <w:pPr>
        <w:spacing w:after="0"/>
      </w:pPr>
      <w:r>
        <w:t>The analytic dataset, county-level Area Deprivation Index, and a high-resolution county-level cardiac imaging atlas are publicly available at https://github.com/abdulrazakucc/geo-spatial-analysis. The atlas provides maps of accredited CMR and CCT facility rates across all 3,144 US counties and is intended as a standalone resource for researchers investigating geographic disparities in cardiac imaging access. Unlike the University of Wisconsin Neighborhood Atlas, which provides tract- and block group-level ADI scores, the county-level ADI constructed here was purpose-built for ecologic analyses of facility distribution and is freely available for reuse.</w:t>
      </w:r>
    </w:p>
    <w:p>
      <w:pPr>
        <w:spacing w:before="240" w:after="120"/>
      </w:pPr>
      <w:r>
        <w:rPr>
          <w:b/>
          <w:sz w:val="22"/>
        </w:rPr>
        <w:t>REFERENCES</w:t>
      </w:r>
    </w:p>
    <w:p>
      <w:pPr>
        <w:spacing w:after="40"/>
        <w:ind w:left="425" w:hanging="425"/>
      </w:pPr>
      <w:r>
        <w:rPr>
          <w:sz w:val="20"/>
        </w:rPr>
        <w:t>1. Cross SH, Mehra MR, Bhatt DL, et al. Rural-urban differences in cardiovascular mortality in the US, 1999-2017. JAMA. 2020;323(18):1852-1854.</w:t>
      </w:r>
    </w:p>
    <w:p>
      <w:pPr>
        <w:spacing w:after="40"/>
        <w:ind w:left="425" w:hanging="425"/>
      </w:pPr>
      <w:r>
        <w:rPr>
          <w:sz w:val="20"/>
        </w:rPr>
        <w:t>2. Flanagan BE, Gregory EW, Hallisey EJ, Heitgerd JL, Lewis B. A social vulnerability index for disaster management. J Homeland Secur Emerg Manag. 2011;8(1):Article 3.</w:t>
      </w:r>
    </w:p>
    <w:p>
      <w:pPr>
        <w:spacing w:after="40"/>
        <w:ind w:left="425" w:hanging="425"/>
      </w:pPr>
      <w:r>
        <w:rPr>
          <w:sz w:val="20"/>
        </w:rPr>
        <w:t>3. Singh GK. Area deprivation and widening inequalities in US mortality, 1969-1998. Am J Public Health. 2003;93(7):1137-1143.</w:t>
      </w:r>
    </w:p>
    <w:p>
      <w:pPr>
        <w:spacing w:after="40"/>
        <w:ind w:left="425" w:hanging="425"/>
      </w:pPr>
      <w:r>
        <w:rPr>
          <w:sz w:val="20"/>
        </w:rPr>
        <w:t>4. Mango VL, Stoeckl EM, Reid NJ, et al. Impact of high neighborhood socioeconomic deprivation on access to accredited breast imaging screening and diagnostic facilities. J Am Coll Radiol. 2023;20(7):634-639.</w:t>
      </w:r>
    </w:p>
    <w:p>
      <w:pPr>
        <w:spacing w:after="40"/>
        <w:ind w:left="425" w:hanging="425"/>
      </w:pPr>
      <w:r>
        <w:rPr>
          <w:sz w:val="20"/>
        </w:rPr>
        <w:t>5. Siddiqi AK, Ali KM, Maniya MT, et al. The hidden epidemic: hypertension-related mortality surges amongst younger adults in the United States. Curr Probl Cardiol. 2024;49(12):102842.</w:t>
      </w:r>
    </w:p>
    <w:p>
      <w:pPr>
        <w:spacing w:before="240" w:after="120"/>
      </w:pPr>
      <w:r>
        <w:rPr>
          <w:b/>
          <w:sz w:val="22"/>
        </w:rPr>
        <w:t>FIGURE LEGEND</w:t>
      </w:r>
    </w:p>
    <w:p>
      <w:r>
        <w:rPr>
          <w:sz w:val="20"/>
        </w:rPr>
        <w:t>Figure 1. Accredited cardiac MRI capacity and its association with area disadvantage across 3,144 US counties. (A) County-level accredited CMR facility rate per 100,000 adults aged ≥45 years; gray denotes counties with no accredited CMR facility. (B) Incidence rate ratios (per 10-percentile increase) for the association of the Social Vulnerability Index and the Area Deprivation Index with CMR and CCT facility rates (negative binomial regression). CCT = cardiac computed tomography; CMR = cardiac magnetic resonance; IRR = incidence rate ratio.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Naeem</dc:creator>
  <cp:keywords/>
  <dc:description>generated by python-docx</dc:description>
  <cp:lastModifiedBy>Abdul Razak</cp:lastModifiedBy>
  <cp:revision>17</cp:revision>
  <dcterms:created xsi:type="dcterms:W3CDTF">2013-12-23T23:15:00Z</dcterms:created>
  <dcterms:modified xsi:type="dcterms:W3CDTF">2026-05-29T11:58:14Z</dcterms:modified>
  <cp:category/>
</cp:coreProperties>
</file>