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Reference. Social Vulnerability Index versus Economic Deprivation Index, unadjusted and adjusted for rurality</w:t>
      </w:r>
    </w:p>
    <w:p>
      <w:r>
        <w:t>Negative binomial regression with an offset of log(adults aged 45 and older). IRR per 10-percentile increase in the index. Neither index is associated with capacity once metropolitan status is in the model.</w:t>
      </w:r>
    </w:p>
    <w:p>
      <w:pPr>
        <w:pStyle w:val="Heading2"/>
      </w:pPr>
      <w:r>
        <w:t>CMR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IRR (95% CI)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 value</w:t>
            </w:r>
          </w:p>
        </w:tc>
      </w:tr>
      <w:tr>
        <w:tc>
          <w:tcPr>
            <w:tcW w:type="dxa" w:w="2880"/>
          </w:tcPr>
          <w:p>
            <w:r>
              <w:t>SVI, unadjusted</w:t>
            </w:r>
          </w:p>
        </w:tc>
        <w:tc>
          <w:tcPr>
            <w:tcW w:type="dxa" w:w="2880"/>
          </w:tcPr>
          <w:p>
            <w:r>
              <w:t>0.9978 (0.9588-1.0384)</w:t>
            </w:r>
          </w:p>
        </w:tc>
        <w:tc>
          <w:tcPr>
            <w:tcW w:type="dxa" w:w="2880"/>
          </w:tcPr>
          <w:p>
            <w:r>
              <w:t>0.9138</w:t>
            </w:r>
          </w:p>
        </w:tc>
      </w:tr>
      <w:tr>
        <w:tc>
          <w:tcPr>
            <w:tcW w:type="dxa" w:w="2880"/>
          </w:tcPr>
          <w:p>
            <w:r>
              <w:t>SVI, adjusted for metropolitan status</w:t>
            </w:r>
          </w:p>
        </w:tc>
        <w:tc>
          <w:tcPr>
            <w:tcW w:type="dxa" w:w="2880"/>
          </w:tcPr>
          <w:p>
            <w:r>
              <w:t>1.0040 (0.9628-1.0470)</w:t>
            </w:r>
          </w:p>
        </w:tc>
        <w:tc>
          <w:tcPr>
            <w:tcW w:type="dxa" w:w="2880"/>
          </w:tcPr>
          <w:p>
            <w:r>
              <w:t>0.8522</w:t>
            </w:r>
          </w:p>
        </w:tc>
      </w:tr>
      <w:tr>
        <w:tc>
          <w:tcPr>
            <w:tcW w:type="dxa" w:w="2880"/>
          </w:tcPr>
          <w:p>
            <w:r>
              <w:t>EDI, unadjusted</w:t>
            </w:r>
          </w:p>
        </w:tc>
        <w:tc>
          <w:tcPr>
            <w:tcW w:type="dxa" w:w="2880"/>
          </w:tcPr>
          <w:p>
            <w:r>
              <w:t>0.9477 (0.9148-0.9818)</w:t>
            </w:r>
          </w:p>
        </w:tc>
        <w:tc>
          <w:tcPr>
            <w:tcW w:type="dxa" w:w="2880"/>
          </w:tcPr>
          <w:p>
            <w:r>
              <w:t>0.0029</w:t>
            </w:r>
          </w:p>
        </w:tc>
      </w:tr>
      <w:tr>
        <w:tc>
          <w:tcPr>
            <w:tcW w:type="dxa" w:w="2880"/>
          </w:tcPr>
          <w:p>
            <w:r>
              <w:t>EDI, adjusted for metropolitan status</w:t>
            </w:r>
          </w:p>
        </w:tc>
        <w:tc>
          <w:tcPr>
            <w:tcW w:type="dxa" w:w="2880"/>
          </w:tcPr>
          <w:p>
            <w:r>
              <w:t>0.9929 (0.9576-1.0295)</w:t>
            </w:r>
          </w:p>
        </w:tc>
        <w:tc>
          <w:tcPr>
            <w:tcW w:type="dxa" w:w="2880"/>
          </w:tcPr>
          <w:p>
            <w:r>
              <w:t>0.6989</w:t>
            </w:r>
          </w:p>
        </w:tc>
      </w:tr>
      <w:tr>
        <w:tc>
          <w:tcPr>
            <w:tcW w:type="dxa" w:w="2880"/>
          </w:tcPr>
          <w:p>
            <w:r>
              <w:t>Graham Center SDI, unadjusted</w:t>
            </w:r>
          </w:p>
        </w:tc>
        <w:tc>
          <w:tcPr>
            <w:tcW w:type="dxa" w:w="2880"/>
          </w:tcPr>
          <w:p>
            <w:r>
              <w:t>1.0169 (0.9837-1.0511)</w:t>
            </w:r>
          </w:p>
        </w:tc>
        <w:tc>
          <w:tcPr>
            <w:tcW w:type="dxa" w:w="2880"/>
          </w:tcPr>
          <w:p>
            <w:r>
              <w:t>0.3222</w:t>
            </w:r>
          </w:p>
        </w:tc>
      </w:tr>
      <w:tr>
        <w:tc>
          <w:tcPr>
            <w:tcW w:type="dxa" w:w="2880"/>
          </w:tcPr>
          <w:p>
            <w:r>
              <w:t>Graham Center SDI, adjusted for metropolitan status</w:t>
            </w:r>
          </w:p>
        </w:tc>
        <w:tc>
          <w:tcPr>
            <w:tcW w:type="dxa" w:w="2880"/>
          </w:tcPr>
          <w:p>
            <w:r>
              <w:t>1.0351 (1.0012-1.0703)</w:t>
            </w:r>
          </w:p>
        </w:tc>
        <w:tc>
          <w:tcPr>
            <w:tcW w:type="dxa" w:w="2880"/>
          </w:tcPr>
          <w:p>
            <w:r>
              <w:t>0.0425</w:t>
            </w:r>
          </w:p>
        </w:tc>
      </w:tr>
      <w:tr>
        <w:tc>
          <w:tcPr>
            <w:tcW w:type="dxa" w:w="2880"/>
          </w:tcPr>
          <w:p>
            <w:r>
              <w:t>Metropolitan status (from adjusted EDI model)</w:t>
            </w:r>
          </w:p>
        </w:tc>
        <w:tc>
          <w:tcPr>
            <w:tcW w:type="dxa" w:w="2880"/>
          </w:tcPr>
          <w:p>
            <w:r>
              <w:t>8.3296 (4.8583-14.2812)</w:t>
            </w:r>
          </w:p>
        </w:tc>
        <w:tc>
          <w:tcPr>
            <w:tcW w:type="dxa" w:w="2880"/>
          </w:tcPr>
          <w:p>
            <w:r>
              <w:t>&lt;0.0001</w:t>
            </w:r>
          </w:p>
        </w:tc>
      </w:tr>
    </w:tbl>
    <w:p>
      <w:pPr>
        <w:pStyle w:val="Heading2"/>
      </w:pPr>
      <w:r>
        <w:t>CCT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IRR (95% CI)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 value</w:t>
            </w:r>
          </w:p>
        </w:tc>
      </w:tr>
      <w:tr>
        <w:tc>
          <w:tcPr>
            <w:tcW w:type="dxa" w:w="2880"/>
          </w:tcPr>
          <w:p>
            <w:r>
              <w:t>SVI, unadjusted</w:t>
            </w:r>
          </w:p>
        </w:tc>
        <w:tc>
          <w:tcPr>
            <w:tcW w:type="dxa" w:w="2880"/>
          </w:tcPr>
          <w:p>
            <w:r>
              <w:t>1.0255 (0.9939-1.0580)</w:t>
            </w:r>
          </w:p>
        </w:tc>
        <w:tc>
          <w:tcPr>
            <w:tcW w:type="dxa" w:w="2880"/>
          </w:tcPr>
          <w:p>
            <w:r>
              <w:t>0.1144</w:t>
            </w:r>
          </w:p>
        </w:tc>
      </w:tr>
      <w:tr>
        <w:tc>
          <w:tcPr>
            <w:tcW w:type="dxa" w:w="2880"/>
          </w:tcPr>
          <w:p>
            <w:r>
              <w:t>SVI, adjusted for metropolitan status</w:t>
            </w:r>
          </w:p>
        </w:tc>
        <w:tc>
          <w:tcPr>
            <w:tcW w:type="dxa" w:w="2880"/>
          </w:tcPr>
          <w:p>
            <w:r>
              <w:t>1.0315 (0.9988-1.0652)</w:t>
            </w:r>
          </w:p>
        </w:tc>
        <w:tc>
          <w:tcPr>
            <w:tcW w:type="dxa" w:w="2880"/>
          </w:tcPr>
          <w:p>
            <w:r>
              <w:t>0.0594</w:t>
            </w:r>
          </w:p>
        </w:tc>
      </w:tr>
      <w:tr>
        <w:tc>
          <w:tcPr>
            <w:tcW w:type="dxa" w:w="2880"/>
          </w:tcPr>
          <w:p>
            <w:r>
              <w:t>EDI, unadjusted</w:t>
            </w:r>
          </w:p>
        </w:tc>
        <w:tc>
          <w:tcPr>
            <w:tcW w:type="dxa" w:w="2880"/>
          </w:tcPr>
          <w:p>
            <w:r>
              <w:t>0.9894 (0.9665-1.0128)</w:t>
            </w:r>
          </w:p>
        </w:tc>
        <w:tc>
          <w:tcPr>
            <w:tcW w:type="dxa" w:w="2880"/>
          </w:tcPr>
          <w:p>
            <w:r>
              <w:t>0.3718</w:t>
            </w:r>
          </w:p>
        </w:tc>
      </w:tr>
      <w:tr>
        <w:tc>
          <w:tcPr>
            <w:tcW w:type="dxa" w:w="2880"/>
          </w:tcPr>
          <w:p>
            <w:r>
              <w:t>EDI, adjusted for metropolitan status</w:t>
            </w:r>
          </w:p>
        </w:tc>
        <w:tc>
          <w:tcPr>
            <w:tcW w:type="dxa" w:w="2880"/>
          </w:tcPr>
          <w:p>
            <w:r>
              <w:t>1.0163 (0.9922-1.0410)</w:t>
            </w:r>
          </w:p>
        </w:tc>
        <w:tc>
          <w:tcPr>
            <w:tcW w:type="dxa" w:w="2880"/>
          </w:tcPr>
          <w:p>
            <w:r>
              <w:t>0.1862</w:t>
            </w:r>
          </w:p>
        </w:tc>
      </w:tr>
      <w:tr>
        <w:tc>
          <w:tcPr>
            <w:tcW w:type="dxa" w:w="2880"/>
          </w:tcPr>
          <w:p>
            <w:r>
              <w:t>Graham Center SDI, unadjusted</w:t>
            </w:r>
          </w:p>
        </w:tc>
        <w:tc>
          <w:tcPr>
            <w:tcW w:type="dxa" w:w="2880"/>
          </w:tcPr>
          <w:p>
            <w:r>
              <w:t>1.0246 (1.0020-1.0478)</w:t>
            </w:r>
          </w:p>
        </w:tc>
        <w:tc>
          <w:tcPr>
            <w:tcW w:type="dxa" w:w="2880"/>
          </w:tcPr>
          <w:p>
            <w:r>
              <w:t>0.0329</w:t>
            </w:r>
          </w:p>
        </w:tc>
      </w:tr>
      <w:tr>
        <w:tc>
          <w:tcPr>
            <w:tcW w:type="dxa" w:w="2880"/>
          </w:tcPr>
          <w:p>
            <w:r>
              <w:t>Graham Center SDI, adjusted for metropolitan status</w:t>
            </w:r>
          </w:p>
        </w:tc>
        <w:tc>
          <w:tcPr>
            <w:tcW w:type="dxa" w:w="2880"/>
          </w:tcPr>
          <w:p>
            <w:r>
              <w:t>1.0348 (1.0119-1.0582)</w:t>
            </w:r>
          </w:p>
        </w:tc>
        <w:tc>
          <w:tcPr>
            <w:tcW w:type="dxa" w:w="2880"/>
          </w:tcPr>
          <w:p>
            <w:r>
              <w:t>0.0027</w:t>
            </w:r>
          </w:p>
        </w:tc>
      </w:tr>
      <w:tr>
        <w:tc>
          <w:tcPr>
            <w:tcW w:type="dxa" w:w="2880"/>
          </w:tcPr>
          <w:p>
            <w:r>
              <w:t>Metropolitan status (from adjusted EDI model)</w:t>
            </w:r>
          </w:p>
        </w:tc>
        <w:tc>
          <w:tcPr>
            <w:tcW w:type="dxa" w:w="2880"/>
          </w:tcPr>
          <w:p>
            <w:r>
              <w:t>2.1274 (1.7369-2.6057)</w:t>
            </w:r>
          </w:p>
        </w:tc>
        <w:tc>
          <w:tcPr>
            <w:tcW w:type="dxa" w:w="2880"/>
          </w:tcPr>
          <w:p>
            <w:r>
              <w:t>&lt;0.0001</w:t>
            </w:r>
          </w:p>
        </w:tc>
      </w:tr>
    </w:tbl>
    <w:p>
      <w:r>
        <w:t>Correlation between SVI and EDI: Pearson r = 0.8209 (P &lt;0.0001). The two indices are strongly correlated but measure overlapping rather than identical constructs.</w:t>
      </w:r>
    </w:p>
    <w:p>
      <w:r>
        <w:t>Agreement between our EDI and the external Graham Center SDI: Spearman rho = 0.883, Pearson r = 0.882, across 3133 of 3144 counties.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