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4. Social Vulnerability Index versus Economic Deprivation Index, unadjusted and adjusted for rurality</w:t>
      </w:r>
    </w:p>
    <w:p>
      <w:r>
        <w:t>Negative binomial regression with an offset of log(adults aged 45 and older). IRR per 10-percentile increase in the index. Neither index is associated with capacity once metropolitan status is in the model.</w:t>
      </w:r>
    </w:p>
    <w:p>
      <w:pPr>
        <w:pStyle w:val="Heading2"/>
      </w:pPr>
      <w:r>
        <w:t>CMR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0.9978 (0.9588-1.0384)</w:t>
            </w:r>
          </w:p>
        </w:tc>
        <w:tc>
          <w:tcPr>
            <w:tcW w:type="dxa" w:w="2880"/>
          </w:tcPr>
          <w:p>
            <w:r>
              <w:t>0.9138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1.0040 (0.9628-1.0470)</w:t>
            </w:r>
          </w:p>
        </w:tc>
        <w:tc>
          <w:tcPr>
            <w:tcW w:type="dxa" w:w="2880"/>
          </w:tcPr>
          <w:p>
            <w:r>
              <w:t>0.8522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0.9477 (0.9148-0.9818)</w:t>
            </w:r>
          </w:p>
        </w:tc>
        <w:tc>
          <w:tcPr>
            <w:tcW w:type="dxa" w:w="2880"/>
          </w:tcPr>
          <w:p>
            <w:r>
              <w:t>0.0029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0.9929 (0.9576-1.0295)</w:t>
            </w:r>
          </w:p>
        </w:tc>
        <w:tc>
          <w:tcPr>
            <w:tcW w:type="dxa" w:w="2880"/>
          </w:tcPr>
          <w:p>
            <w:r>
              <w:t>0.6989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1.0169 (0.9837-1.0511)</w:t>
            </w:r>
          </w:p>
        </w:tc>
        <w:tc>
          <w:tcPr>
            <w:tcW w:type="dxa" w:w="2880"/>
          </w:tcPr>
          <w:p>
            <w:r>
              <w:t>0.3222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1.0351 (1.0012-1.0703)</w:t>
            </w:r>
          </w:p>
        </w:tc>
        <w:tc>
          <w:tcPr>
            <w:tcW w:type="dxa" w:w="2880"/>
          </w:tcPr>
          <w:p>
            <w:r>
              <w:t>0.0425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8.3296 (4.8583-14.2812)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pPr>
        <w:pStyle w:val="Heading2"/>
      </w:pPr>
      <w:r>
        <w:t>CCT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1.0255 (0.9939-1.0580)</w:t>
            </w:r>
          </w:p>
        </w:tc>
        <w:tc>
          <w:tcPr>
            <w:tcW w:type="dxa" w:w="2880"/>
          </w:tcPr>
          <w:p>
            <w:r>
              <w:t>0.1144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1.0315 (0.9988-1.0652)</w:t>
            </w:r>
          </w:p>
        </w:tc>
        <w:tc>
          <w:tcPr>
            <w:tcW w:type="dxa" w:w="2880"/>
          </w:tcPr>
          <w:p>
            <w:r>
              <w:t>0.0594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0.9894 (0.9665-1.0128)</w:t>
            </w:r>
          </w:p>
        </w:tc>
        <w:tc>
          <w:tcPr>
            <w:tcW w:type="dxa" w:w="2880"/>
          </w:tcPr>
          <w:p>
            <w:r>
              <w:t>0.3718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1.0163 (0.9922-1.0410)</w:t>
            </w:r>
          </w:p>
        </w:tc>
        <w:tc>
          <w:tcPr>
            <w:tcW w:type="dxa" w:w="2880"/>
          </w:tcPr>
          <w:p>
            <w:r>
              <w:t>0.1862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1.0246 (1.0020-1.0478)</w:t>
            </w:r>
          </w:p>
        </w:tc>
        <w:tc>
          <w:tcPr>
            <w:tcW w:type="dxa" w:w="2880"/>
          </w:tcPr>
          <w:p>
            <w:r>
              <w:t>0.0329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1.0348 (1.0119-1.0582)</w:t>
            </w:r>
          </w:p>
        </w:tc>
        <w:tc>
          <w:tcPr>
            <w:tcW w:type="dxa" w:w="2880"/>
          </w:tcPr>
          <w:p>
            <w:r>
              <w:t>0.0027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2.1274 (1.7369-2.6057)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r>
        <w:t>Correlation between SVI and EDI: Pearson r = 0.8209 (P &lt;0.0001). The two indices are strongly correlated but measure overlapping rather than identical constructs.</w:t>
      </w:r>
    </w:p>
    <w:p>
      <w:r>
        <w:t>Agreement between our EDI and the external Graham Center SDI: Spearman rho = 0.883, Pearson r = 0.882, across 3133 of 3144 counties.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