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37E"/>
          <w:sz w:val="24"/>
        </w:rPr>
        <w:t>Supplementary Table. Comparison of SVI and ADI as Predictors of</w:t>
        <w:br/>
        <w:t>ACR-Accredited Cardiac Imaging Capacity (Negative Binomial Regression)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Predictor</w:t>
            </w:r>
          </w:p>
        </w:tc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IRR</w:t>
            </w:r>
          </w:p>
        </w:tc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95% CI</w:t>
            </w:r>
          </w:p>
        </w:tc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144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Significant</w:t>
            </w:r>
          </w:p>
        </w:tc>
      </w:tr>
      <w:tr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SVI per 10-pctl</w:t>
            </w:r>
          </w:p>
        </w:tc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CMR</w:t>
            </w:r>
          </w:p>
        </w:tc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0.992</w:t>
            </w:r>
          </w:p>
        </w:tc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0.952–1.033</w:t>
            </w:r>
          </w:p>
        </w:tc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0.681</w:t>
            </w:r>
          </w:p>
        </w:tc>
        <w:tc>
          <w:tcPr>
            <w:tcW w:type="dxa" w:w="1440"/>
            <w:vAlign w:val="center"/>
            <w:shd w:fill="E8F5E9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SVI per 10-pctl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CCT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1.020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0.989–1.053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0.213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ADI per 10-pctl</w:t>
            </w:r>
          </w:p>
        </w:tc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CMR</w:t>
            </w:r>
          </w:p>
        </w:tc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0.9373</w:t>
            </w:r>
          </w:p>
        </w:tc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0.9000–0.9762</w:t>
            </w:r>
          </w:p>
        </w:tc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0.0018</w:t>
            </w:r>
          </w:p>
        </w:tc>
        <w:tc>
          <w:tcPr>
            <w:tcW w:type="dxa" w:w="1440"/>
            <w:vAlign w:val="center"/>
            <w:shd w:fill="E8F5E9"/>
            <w:shd w:fill="FFF8E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95C"/>
                <w:sz w:val="19"/>
              </w:rPr>
              <w:t>Yes **</w:t>
            </w:r>
          </w:p>
        </w:tc>
      </w:tr>
      <w:tr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ADI per 10-pctl</w:t>
            </w:r>
          </w:p>
        </w:tc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CCT</w:t>
            </w:r>
          </w:p>
        </w:tc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0.9789</w:t>
            </w:r>
          </w:p>
        </w:tc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0.9490–1.0097</w:t>
            </w:r>
          </w:p>
        </w:tc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0.1767</w:t>
            </w:r>
          </w:p>
        </w:tc>
        <w:tc>
          <w:tcPr>
            <w:tcW w:type="dxa" w:w="1440"/>
            <w:vAlign w:val="center"/>
            <w:shd w:fill="FFF8E1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</w:tbl>
    <w:p/>
    <w:p>
      <w:r>
        <w:rPr>
          <w:rFonts w:ascii="Calibri" w:hAnsi="Calibri"/>
          <w:color w:val="444444"/>
          <w:sz w:val="17"/>
        </w:rPr>
        <w:t>Model: Count ~ NegBin(mu, alpha), log(mu) = B0 + B1*predictor + offset(ln[pop &gt;= 45]). n = 3,029.</w:t>
      </w:r>
    </w:p>
    <w:p>
      <w:r>
        <w:rPr>
          <w:rFonts w:ascii="Calibri" w:hAnsi="Calibri"/>
          <w:color w:val="444444"/>
          <w:sz w:val="17"/>
        </w:rPr>
        <w:t>** p &lt; 0.05.</w:t>
      </w:r>
    </w:p>
    <w:p>
      <w:r>
        <w:rPr>
          <w:rFonts w:ascii="Calibri" w:hAnsi="Calibri"/>
          <w:color w:val="444444"/>
          <w:sz w:val="17"/>
        </w:rPr>
        <w:t>SVI = CDC Social Vulnerability Index 2022 (overall RPL_THEMES). ADI = Area Deprivation Index, constructed via PCA of 6 ACS socioeconomic indicators (Singh 2003 methodology).</w:t>
      </w:r>
    </w:p>
    <w:p>
      <w:r>
        <w:rPr>
          <w:rFonts w:ascii="Calibri" w:hAnsi="Calibri"/>
          <w:color w:val="444444"/>
          <w:sz w:val="17"/>
        </w:rPr>
        <w:t>Spearman (ADI vs rate): CMR rho = -0.1715 (p &lt; 0.0001); CCT rho = -0.1632 (p &lt; 0.0001).</w:t>
      </w:r>
    </w:p>
    <w:p>
      <w:r>
        <w:rPr>
          <w:rFonts w:ascii="Calibri" w:hAnsi="Calibri"/>
          <w:color w:val="444444"/>
          <w:sz w:val="17"/>
        </w:rPr>
        <w:t>Key Finding: ADI detects a 6.3% decrease in CMR capacity per 10-pctl increase in deprivation that SVI misses. This supports ADI as the more sensitive measure for cardiac imaging access disparities.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