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Table. Economic Deprivation Index (EDI) and accredited cardiac imaging capacity</w:t>
      </w:r>
    </w:p>
    <w:p>
      <w:pPr>
        <w:jc w:val="left"/>
      </w:pPr>
      <w:r>
        <w:t>Negative binomial regression with an offset of log(adults aged 45 and older). IRR is expressed per 10-percentile increase in EDI. Rate-eligible counties only (≥1,000 adults aged 45+).</w:t>
      </w:r>
    </w:p>
    <w:p>
      <w:pPr>
        <w:pStyle w:val="Heading2"/>
      </w:pPr>
      <w:r>
        <w:t>CMR (n = 3134 counties)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IRR (95% CI)</w:t>
            </w:r>
          </w:p>
        </w:tc>
        <w:tc>
          <w:tcPr>
            <w:tcW w:type="dxa" w:w="2880"/>
          </w:tcPr>
          <w:p>
            <w:r>
              <w:rPr>
                <w:b/>
              </w:rPr>
              <w:t>P value</w:t>
            </w:r>
          </w:p>
        </w:tc>
      </w:tr>
      <w:tr>
        <w:tc>
          <w:tcPr>
            <w:tcW w:type="dxa" w:w="2880"/>
          </w:tcPr>
          <w:p>
            <w:r>
              <w:t>EDI, unadjusted</w:t>
            </w:r>
          </w:p>
        </w:tc>
        <w:tc>
          <w:tcPr>
            <w:tcW w:type="dxa" w:w="2880"/>
          </w:tcPr>
          <w:p>
            <w:r>
              <w:t>0.9477 (0.9148-0.9818)</w:t>
            </w:r>
          </w:p>
        </w:tc>
        <w:tc>
          <w:tcPr>
            <w:tcW w:type="dxa" w:w="2880"/>
          </w:tcPr>
          <w:p>
            <w:r>
              <w:t>0.0029</w:t>
            </w:r>
          </w:p>
        </w:tc>
      </w:tr>
      <w:tr>
        <w:tc>
          <w:tcPr>
            <w:tcW w:type="dxa" w:w="2880"/>
          </w:tcPr>
          <w:p>
            <w:r>
              <w:t>EDI, adjusted for metropolitan status</w:t>
            </w:r>
          </w:p>
        </w:tc>
        <w:tc>
          <w:tcPr>
            <w:tcW w:type="dxa" w:w="2880"/>
          </w:tcPr>
          <w:p>
            <w:r>
              <w:t>0.9929 (0.9576-1.0295)</w:t>
            </w:r>
          </w:p>
        </w:tc>
        <w:tc>
          <w:tcPr>
            <w:tcW w:type="dxa" w:w="2880"/>
          </w:tcPr>
          <w:p>
            <w:r>
              <w:t>0.6989</w:t>
            </w:r>
          </w:p>
        </w:tc>
      </w:tr>
      <w:tr>
        <w:tc>
          <w:tcPr>
            <w:tcW w:type="dxa" w:w="2880"/>
          </w:tcPr>
          <w:p>
            <w:r>
              <w:t>EDI, adjusted for ordinal RUCC</w:t>
            </w:r>
          </w:p>
        </w:tc>
        <w:tc>
          <w:tcPr>
            <w:tcW w:type="dxa" w:w="2880"/>
          </w:tcPr>
          <w:p>
            <w:r>
              <w:t>1.0048 (0.9680-1.0430)</w:t>
            </w:r>
          </w:p>
        </w:tc>
        <w:tc>
          <w:tcPr>
            <w:tcW w:type="dxa" w:w="2880"/>
          </w:tcPr>
          <w:p>
            <w:r>
              <w:t>0.8014</w:t>
            </w:r>
          </w:p>
        </w:tc>
      </w:tr>
      <w:tr>
        <w:tc>
          <w:tcPr>
            <w:tcW w:type="dxa" w:w="2880"/>
          </w:tcPr>
          <w:p>
            <w:r>
              <w:t>EDI, metropolitan counties only</w:t>
            </w:r>
          </w:p>
        </w:tc>
        <w:tc>
          <w:tcPr>
            <w:tcW w:type="dxa" w:w="2880"/>
          </w:tcPr>
          <w:p>
            <w:r>
              <w:t>1.0032 (0.9671-1.0407)</w:t>
            </w:r>
          </w:p>
        </w:tc>
        <w:tc>
          <w:tcPr>
            <w:tcW w:type="dxa" w:w="2880"/>
          </w:tcPr>
          <w:p>
            <w:r>
              <w:t>0.8632</w:t>
            </w:r>
          </w:p>
        </w:tc>
      </w:tr>
      <w:tr>
        <w:tc>
          <w:tcPr>
            <w:tcW w:type="dxa" w:w="2880"/>
          </w:tcPr>
          <w:p>
            <w:r>
              <w:t>EDI, nonmetropolitan counties only</w:t>
            </w:r>
          </w:p>
        </w:tc>
        <w:tc>
          <w:tcPr>
            <w:tcW w:type="dxa" w:w="2880"/>
          </w:tcPr>
          <w:p>
            <w:r>
              <w:t>0.7041 (nan-nan)</w:t>
            </w:r>
          </w:p>
        </w:tc>
        <w:tc>
          <w:tcPr>
            <w:tcW w:type="dxa" w:w="2880"/>
          </w:tcPr>
          <w:p>
            <w:r>
              <w:t>nan</w:t>
            </w:r>
          </w:p>
        </w:tc>
      </w:tr>
      <w:tr>
        <w:tc>
          <w:tcPr>
            <w:tcW w:type="dxa" w:w="2880"/>
          </w:tcPr>
          <w:p>
            <w:r>
              <w:t>Metropolitan status (from adjusted model)</w:t>
            </w:r>
          </w:p>
        </w:tc>
        <w:tc>
          <w:tcPr>
            <w:tcW w:type="dxa" w:w="2880"/>
          </w:tcPr>
          <w:p>
            <w:r>
              <w:t>8.3296 (4.8583-14.2812)</w:t>
            </w:r>
          </w:p>
        </w:tc>
        <w:tc>
          <w:tcPr>
            <w:tcW w:type="dxa" w:w="2880"/>
          </w:tcPr>
          <w:p>
            <w:r>
              <w:t>&lt;0.0001</w:t>
            </w:r>
          </w:p>
        </w:tc>
      </w:tr>
    </w:tbl>
    <w:p>
      <w:r>
        <w:t>Stratum sizes. Metropolitan, 1178 counties carrying 694 facilities in 282 counties. Nonmetropolitan, 1956 counties carrying 14 facilities in 14 counties.</w:t>
      </w:r>
    </w:p>
    <w:p>
      <w:r>
        <w:rPr>
          <w:i/>
        </w:rPr>
        <w:t>Caution. The nonmetropolitan CMR stratum contains only 14 facilities. Estimates from it are unstable and should be read as exploratory.</w:t>
      </w:r>
    </w:p>
    <w:p>
      <w:pPr>
        <w:pStyle w:val="Heading2"/>
      </w:pPr>
      <w:r>
        <w:t>CCT (n = 3134 counties)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IRR (95% CI)</w:t>
            </w:r>
          </w:p>
        </w:tc>
        <w:tc>
          <w:tcPr>
            <w:tcW w:type="dxa" w:w="2880"/>
          </w:tcPr>
          <w:p>
            <w:r>
              <w:rPr>
                <w:b/>
              </w:rPr>
              <w:t>P value</w:t>
            </w:r>
          </w:p>
        </w:tc>
      </w:tr>
      <w:tr>
        <w:tc>
          <w:tcPr>
            <w:tcW w:type="dxa" w:w="2880"/>
          </w:tcPr>
          <w:p>
            <w:r>
              <w:t>EDI, unadjusted</w:t>
            </w:r>
          </w:p>
        </w:tc>
        <w:tc>
          <w:tcPr>
            <w:tcW w:type="dxa" w:w="2880"/>
          </w:tcPr>
          <w:p>
            <w:r>
              <w:t>0.9894 (0.9665-1.0128)</w:t>
            </w:r>
          </w:p>
        </w:tc>
        <w:tc>
          <w:tcPr>
            <w:tcW w:type="dxa" w:w="2880"/>
          </w:tcPr>
          <w:p>
            <w:r>
              <w:t>0.3718</w:t>
            </w:r>
          </w:p>
        </w:tc>
      </w:tr>
      <w:tr>
        <w:tc>
          <w:tcPr>
            <w:tcW w:type="dxa" w:w="2880"/>
          </w:tcPr>
          <w:p>
            <w:r>
              <w:t>EDI, adjusted for metropolitan status</w:t>
            </w:r>
          </w:p>
        </w:tc>
        <w:tc>
          <w:tcPr>
            <w:tcW w:type="dxa" w:w="2880"/>
          </w:tcPr>
          <w:p>
            <w:r>
              <w:t>1.0163 (0.9922-1.0410)</w:t>
            </w:r>
          </w:p>
        </w:tc>
        <w:tc>
          <w:tcPr>
            <w:tcW w:type="dxa" w:w="2880"/>
          </w:tcPr>
          <w:p>
            <w:r>
              <w:t>0.1862</w:t>
            </w:r>
          </w:p>
        </w:tc>
      </w:tr>
      <w:tr>
        <w:tc>
          <w:tcPr>
            <w:tcW w:type="dxa" w:w="2880"/>
          </w:tcPr>
          <w:p>
            <w:r>
              <w:t>EDI, adjusted for ordinal RUCC</w:t>
            </w:r>
          </w:p>
        </w:tc>
        <w:tc>
          <w:tcPr>
            <w:tcW w:type="dxa" w:w="2880"/>
          </w:tcPr>
          <w:p>
            <w:r>
              <w:t>1.0269 (1.0021-1.0523)</w:t>
            </w:r>
          </w:p>
        </w:tc>
        <w:tc>
          <w:tcPr>
            <w:tcW w:type="dxa" w:w="2880"/>
          </w:tcPr>
          <w:p>
            <w:r>
              <w:t>0.0331</w:t>
            </w:r>
          </w:p>
        </w:tc>
      </w:tr>
      <w:tr>
        <w:tc>
          <w:tcPr>
            <w:tcW w:type="dxa" w:w="2880"/>
          </w:tcPr>
          <w:p>
            <w:r>
              <w:t>EDI, metropolitan counties only</w:t>
            </w:r>
          </w:p>
        </w:tc>
        <w:tc>
          <w:tcPr>
            <w:tcW w:type="dxa" w:w="2880"/>
          </w:tcPr>
          <w:p>
            <w:r>
              <w:t>1.0238 (0.9980-1.0502)</w:t>
            </w:r>
          </w:p>
        </w:tc>
        <w:tc>
          <w:tcPr>
            <w:tcW w:type="dxa" w:w="2880"/>
          </w:tcPr>
          <w:p>
            <w:r>
              <w:t>0.0711</w:t>
            </w:r>
          </w:p>
        </w:tc>
      </w:tr>
      <w:tr>
        <w:tc>
          <w:tcPr>
            <w:tcW w:type="dxa" w:w="2880"/>
          </w:tcPr>
          <w:p>
            <w:r>
              <w:t>EDI, nonmetropolitan counties only</w:t>
            </w:r>
          </w:p>
        </w:tc>
        <w:tc>
          <w:tcPr>
            <w:tcW w:type="dxa" w:w="2880"/>
          </w:tcPr>
          <w:p>
            <w:r>
              <w:t>0.9578 (0.8924-1.0280)</w:t>
            </w:r>
          </w:p>
        </w:tc>
        <w:tc>
          <w:tcPr>
            <w:tcW w:type="dxa" w:w="2880"/>
          </w:tcPr>
          <w:p>
            <w:r>
              <w:t>0.2324</w:t>
            </w:r>
          </w:p>
        </w:tc>
      </w:tr>
      <w:tr>
        <w:tc>
          <w:tcPr>
            <w:tcW w:type="dxa" w:w="2880"/>
          </w:tcPr>
          <w:p>
            <w:r>
              <w:t>Metropolitan status (from adjusted model)</w:t>
            </w:r>
          </w:p>
        </w:tc>
        <w:tc>
          <w:tcPr>
            <w:tcW w:type="dxa" w:w="2880"/>
          </w:tcPr>
          <w:p>
            <w:r>
              <w:t>2.1274 (1.7369-2.6057)</w:t>
            </w:r>
          </w:p>
        </w:tc>
        <w:tc>
          <w:tcPr>
            <w:tcW w:type="dxa" w:w="2880"/>
          </w:tcPr>
          <w:p>
            <w:r>
              <w:t>&lt;0.0001</w:t>
            </w:r>
          </w:p>
        </w:tc>
      </w:tr>
    </w:tbl>
    <w:p>
      <w:r>
        <w:t>Stratum sizes. Metropolitan, 1178 counties carrying 1409 facilities in 438 counties. Nonmetropolitan, 1956 counties carrying 115 facilities in 108 counties.</w:t>
      </w:r>
    </w:p>
    <w:p>
      <w:pPr>
        <w:pStyle w:val="Heading2"/>
      </w:pPr>
      <w:r>
        <w:t>Why the unadjusted association appears</w:t>
      </w:r>
    </w:p>
    <w:p>
      <w:r>
        <w:t>The EDI tracks rurality. Spearman rho versus RUCC is 0.249, and mean EDI is 39.9 in metropolitan counties versus 56.1 in nonmetropolitan counties, a gap of 16.2 points. Because accredited capacity is concentrated in metropolitan counties, an unadjusted deprivation model absorbs the rurality signal. Once metropolitan status is included, the deprivation term is no longer associated with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