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Project Briefing for Geospatial Analyst</w:t>
      </w:r>
    </w:p>
    <w:p>
      <w:pPr>
        <w:spacing w:after="80"/>
        <w:jc w:val="center"/>
      </w:pPr>
      <w:r>
        <w:rPr>
          <w:b/>
          <w:bCs/>
          <w:sz w:val="26"/>
          <w:szCs w:val="26"/>
        </w:rPr>
        <w:t xml:space="preserve">Geographic Disparities in ACR-Accredited Cardiac Imaging Capacity</w:t>
      </w:r>
    </w:p>
    <w:p>
      <w:pPr>
        <w:spacing w:after="320"/>
        <w:jc w:val="center"/>
      </w:pPr>
      <w:r>
        <w:rPr>
          <w:i/>
          <w:iCs/>
          <w:color w:val="595959"/>
          <w:sz w:val="22"/>
          <w:szCs w:val="22"/>
        </w:rPr>
        <w:t xml:space="preserve">Target journal: JACC: Advances — Special Focus Issue on Health Equity in Cardiology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Prepared for</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Shiloh Johnson, GISP</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Prepared by</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Muhammad Naeem, MD — Assistant Professor of Radiology, Mayo Clinic Arizona</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Submission deadline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June 1, 2026 (12 calendar days)</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First analytic output needed</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Sunday, May 24, 2026</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Role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Middle author (ICMJE criteria — substantial analytic contribution, manuscript review, final approval, accountability for integrity)</w:t>
            </w:r>
          </w:p>
        </w:tc>
      </w:tr>
    </w:tbl>
    <w:p>
      <w:pPr>
        <w:pStyle w:val="Heading1"/>
        <w:spacing w:after="160" w:before="320"/>
      </w:pPr>
      <w:r>
        <w:t xml:space="preserve">1. Project Overview</w:t>
      </w:r>
    </w:p>
    <w:p>
      <w:pPr>
        <w:spacing w:after="120"/>
      </w:pPr>
      <w:r>
        <w:t xml:space="preserve">This project is a cross-sectional ecologic analysis examining geographic variation in advanced cardiac imaging capacity across the United States. The hypothesis is that ACR-accredited Cardiac MRI and Cardiac CT capacity is concentrated in metropolitan, low-social-vulnerability regions, mirroring the documented geographic patterning of cardiovascular outcome disparities.</w:t>
      </w:r>
    </w:p>
    <w:p>
      <w:pPr>
        <w:spacing w:after="120"/>
      </w:pPr>
      <w:r>
        <w:t xml:space="preserve">The target publication is a Brief Report in the JACC: Advances Mini-Focus Issue on Best Practices Addressing Health Equity in Cardiology. The submission format is approximately 1,500 words, one figure, one table, and up to ten references. The figure is a county-level choropleth of the United States; the table summarizes capacity by social vulnerability and rurality strata.</w:t>
      </w:r>
    </w:p>
    <w:p>
      <w:pPr>
        <w:spacing w:after="120"/>
      </w:pPr>
      <w:r>
        <w:t xml:space="preserve">The analytic frame is ACR-accredited capacity specifically, not total US cardiac imaging capacity. This framing is deliberate. ACR accreditation indexes a payer-recognized quality threshold under the Deficit Reduction Act of 2005, so the disparity question is well-formed even with ACR-only data. Cardiology-side programs accredited through IAC are not in this dataset and will be acknowledged as a Limitation.</w:t>
      </w:r>
    </w:p>
    <w:p>
      <w:pPr>
        <w:pStyle w:val="Heading1"/>
        <w:spacing w:after="160" w:before="320"/>
      </w:pPr>
      <w:r>
        <w:t xml:space="preserve">2. Data Sources and Inputs</w:t>
      </w:r>
    </w:p>
    <w:p>
      <w:pPr>
        <w:pStyle w:val="Heading2"/>
        <w:spacing w:after="120" w:before="240"/>
      </w:pPr>
      <w:r>
        <w:t xml:space="preserve">2.1 Provided by Dr. Naeem</w:t>
      </w:r>
    </w:p>
    <w:p>
      <w:pPr>
        <w:pStyle w:val="ListParagraph"/>
        <w:numPr>
          <w:ilvl w:val="0"/>
          <w:numId w:val="2"/>
        </w:numPr>
        <w:spacing w:after="80"/>
      </w:pPr>
      <w:r>
        <w:t xml:space="preserve">ACR_Cardiac_Imaging_Sites.xlsx — 2,273 facility records extracted from the ACR Accredited Facility Search on May 20, 2026.</w:t>
      </w:r>
    </w:p>
    <w:p>
      <w:pPr>
        <w:pStyle w:val="ListParagraph"/>
        <w:numPr>
          <w:ilvl w:val="0"/>
          <w:numId w:val="2"/>
        </w:numPr>
        <w:spacing w:after="80"/>
      </w:pPr>
      <w:r>
        <w:t xml:space="preserve">Cohort composition: 725 Cardiac MRI sites (MRAP, Cardiac module), 1,548 Cardiac CT sites (CTAP, Cardiac module). Nuclear Cardiology on a separate sheet, treated as optional/out of scope unless agreed otherwise.</w:t>
      </w:r>
    </w:p>
    <w:p>
      <w:pPr>
        <w:pStyle w:val="ListParagraph"/>
        <w:numPr>
          <w:ilvl w:val="0"/>
          <w:numId w:val="2"/>
        </w:numPr>
        <w:spacing w:after="80"/>
      </w:pPr>
      <w:r>
        <w:t xml:space="preserve">Fields: facility name, full street address, city, state, ZIP, modality, accreditation status, expiration date, module list, Facility NPI list (1,430 of 2,273 records have NPI populated).</w:t>
      </w:r>
    </w:p>
    <w:p>
      <w:pPr>
        <w:pStyle w:val="ListParagraph"/>
        <w:numPr>
          <w:ilvl w:val="0"/>
          <w:numId w:val="2"/>
        </w:numPr>
        <w:spacing w:after="80"/>
      </w:pPr>
      <w:r>
        <w:t xml:space="preserve">All records have ZIP code populated. Status field includes 2,250 "Accredited" and 23 "Under Review".</w:t>
      </w:r>
    </w:p>
    <w:p>
      <w:pPr>
        <w:pStyle w:val="Heading2"/>
        <w:spacing w:after="120" w:before="240"/>
      </w:pPr>
      <w:r>
        <w:t xml:space="preserve">2.2 To be sourced by analyst</w:t>
      </w:r>
    </w:p>
    <w:p>
      <w:pPr>
        <w:pStyle w:val="ListParagraph"/>
        <w:numPr>
          <w:ilvl w:val="0"/>
          <w:numId w:val="2"/>
        </w:numPr>
        <w:spacing w:after="80"/>
      </w:pPr>
      <w:r>
        <w:rPr>
          <w:b w:val="false"/>
          <w:bCs w:val="false"/>
        </w:rPr>
        <w:t xml:space="preserve">HUD USPS ZIP–County Crosswalk, Q1 2026 release </w:t>
      </w:r>
      <w:r>
        <w:t xml:space="preserve">— used to map facility ZIP codes to 5-digit county FIPS, with multi-county ZIPs assigned to the county containing the largest residential address share.</w:t>
      </w:r>
    </w:p>
    <w:p>
      <w:pPr>
        <w:pStyle w:val="ListParagraph"/>
        <w:numPr>
          <w:ilvl w:val="0"/>
          <w:numId w:val="2"/>
        </w:numPr>
        <w:spacing w:after="80"/>
      </w:pPr>
      <w:r>
        <w:rPr>
          <w:b w:val="false"/>
          <w:bCs w:val="false"/>
        </w:rPr>
        <w:t xml:space="preserve">CDC/ATSDR Social Vulnerability Index (SVI), 2022 release </w:t>
      </w:r>
      <w:r>
        <w:t xml:space="preserve">— county-level RPL_THEMES (overall percentile rank). Confirm a 2024 release has not superseded 2022 before locking.</w:t>
      </w:r>
    </w:p>
    <w:p>
      <w:pPr>
        <w:pStyle w:val="ListParagraph"/>
        <w:numPr>
          <w:ilvl w:val="0"/>
          <w:numId w:val="2"/>
        </w:numPr>
        <w:spacing w:after="80"/>
      </w:pPr>
      <w:r>
        <w:rPr>
          <w:b w:val="false"/>
          <w:bCs w:val="false"/>
        </w:rPr>
        <w:t xml:space="preserve">USDA ERS Rural-Urban Continuum Codes (RUCC), 2023 update </w:t>
      </w:r>
      <w:r>
        <w:t xml:space="preserve">— dichotomize to metropolitan (RUCC 1–3) versus nonmetropolitan (RUCC 4–9).</w:t>
      </w:r>
    </w:p>
    <w:p>
      <w:pPr>
        <w:pStyle w:val="ListParagraph"/>
        <w:numPr>
          <w:ilvl w:val="0"/>
          <w:numId w:val="2"/>
        </w:numPr>
        <w:spacing w:after="80"/>
      </w:pPr>
      <w:r>
        <w:rPr>
          <w:b w:val="false"/>
          <w:bCs w:val="false"/>
        </w:rPr>
        <w:t xml:space="preserve">American Community Survey, 5-year estimates 2019–2023, via the Census API </w:t>
      </w:r>
      <w:r>
        <w:t xml:space="preserve">— county-level total population and adult population aged 45 years and older. The latter is the rate denominator.</w:t>
      </w:r>
    </w:p>
    <w:p>
      <w:pPr>
        <w:pStyle w:val="ListParagraph"/>
        <w:numPr>
          <w:ilvl w:val="0"/>
          <w:numId w:val="2"/>
        </w:numPr>
        <w:spacing w:after="80"/>
      </w:pPr>
      <w:r>
        <w:rPr>
          <w:b w:val="false"/>
          <w:bCs w:val="false"/>
        </w:rPr>
        <w:t xml:space="preserve">US Census TIGER/Line 2023 county shapefiles </w:t>
      </w:r>
      <w:r>
        <w:t xml:space="preserve">— for the choropleth.</w:t>
      </w:r>
    </w:p>
    <w:p>
      <w:pPr>
        <w:pStyle w:val="Heading1"/>
        <w:spacing w:after="160" w:before="320"/>
      </w:pPr>
      <w:r>
        <w:t xml:space="preserve">3. Analytic Methods</w:t>
      </w:r>
    </w:p>
    <w:p>
      <w:pPr>
        <w:pStyle w:val="Heading2"/>
        <w:spacing w:after="120" w:before="240"/>
      </w:pPr>
      <w:r>
        <w:t xml:space="preserve">3.1 Unit of analysis and inclusion criteria</w:t>
      </w:r>
    </w:p>
    <w:p>
      <w:pPr>
        <w:pStyle w:val="ListParagraph"/>
        <w:numPr>
          <w:ilvl w:val="0"/>
          <w:numId w:val="2"/>
        </w:numPr>
        <w:spacing w:after="80"/>
      </w:pPr>
      <w:r>
        <w:t xml:space="preserve">Unit: US county (n = 3,143). 50 states plus the District of Columbia. US territories excluded.</w:t>
      </w:r>
    </w:p>
    <w:p>
      <w:pPr>
        <w:pStyle w:val="ListParagraph"/>
        <w:numPr>
          <w:ilvl w:val="0"/>
          <w:numId w:val="2"/>
        </w:numPr>
        <w:spacing w:after="80"/>
      </w:pPr>
      <w:r>
        <w:t xml:space="preserve">Facility inclusion: located in the 50 states or DC; accreditation status "Accredited" or "Under Review"; Cardiac module designation under MRAP (for CMR) or CTAP (for CCT).</w:t>
      </w:r>
    </w:p>
    <w:p>
      <w:pPr>
        <w:pStyle w:val="ListParagraph"/>
        <w:numPr>
          <w:ilvl w:val="0"/>
          <w:numId w:val="2"/>
        </w:numPr>
        <w:spacing w:after="80"/>
      </w:pPr>
      <w:r>
        <w:t xml:space="preserve">Facility exclusion: expired accreditation as of the May 20, 2026 extraction date.</w:t>
      </w:r>
    </w:p>
    <w:p>
      <w:pPr>
        <w:pStyle w:val="ListParagraph"/>
        <w:numPr>
          <w:ilvl w:val="0"/>
          <w:numId w:val="2"/>
        </w:numPr>
        <w:spacing w:after="80"/>
      </w:pPr>
      <w:r>
        <w:t xml:space="preserve">Double-counting rule: a single facility accredited for both CMR and CCT is counted once per modality.</w:t>
      </w:r>
    </w:p>
    <w:p>
      <w:pPr>
        <w:pStyle w:val="ListParagraph"/>
        <w:numPr>
          <w:ilvl w:val="0"/>
          <w:numId w:val="2"/>
        </w:numPr>
        <w:spacing w:after="80"/>
      </w:pPr>
      <w:r>
        <w:t xml:space="preserve">County exclusion from rate calculations: counties with fewer than 1,000 adults aged ≥45 years (kept in count-based analyses, excluded from per-capita rates to avoid unstable denominators).</w:t>
      </w:r>
    </w:p>
    <w:p>
      <w:pPr>
        <w:pStyle w:val="Heading2"/>
        <w:spacing w:after="120" w:before="240"/>
      </w:pPr>
      <w:r>
        <w:t xml:space="preserve">3.2 Primary outcome</w:t>
      </w:r>
    </w:p>
    <w:p>
      <w:pPr>
        <w:spacing w:after="120"/>
      </w:pPr>
      <w:r>
        <w:t xml:space="preserve">ACR-accredited cardiac imaging facilities per 100,000 adults aged ≥45 years, by county, separately for CMR and CCT.</w:t>
      </w:r>
    </w:p>
    <w:p>
      <w:pPr>
        <w:pStyle w:val="Heading2"/>
        <w:spacing w:after="120" w:before="240"/>
      </w:pPr>
      <w:r>
        <w:t xml:space="preserve">3.3 Statistical analysis</w:t>
      </w:r>
    </w:p>
    <w:p>
      <w:pPr>
        <w:pStyle w:val="ListParagraph"/>
        <w:numPr>
          <w:ilvl w:val="0"/>
          <w:numId w:val="2"/>
        </w:numPr>
        <w:spacing w:after="80"/>
      </w:pPr>
      <w:r>
        <w:t xml:space="preserve">Descriptive statistics by SVI quartile (national distribution-based) and by metropolitan versus nonmetropolitan status.</w:t>
      </w:r>
    </w:p>
    <w:p>
      <w:pPr>
        <w:pStyle w:val="ListParagraph"/>
        <w:numPr>
          <w:ilvl w:val="0"/>
          <w:numId w:val="2"/>
        </w:numPr>
        <w:spacing w:after="80"/>
      </w:pPr>
      <w:r>
        <w:t xml:space="preserve">Spearman rank correlation between county facility rate and SVI percentile, continuous, reported separately for CMR and CCT.</w:t>
      </w:r>
    </w:p>
    <w:p>
      <w:pPr>
        <w:pStyle w:val="ListParagraph"/>
        <w:numPr>
          <w:ilvl w:val="0"/>
          <w:numId w:val="2"/>
        </w:numPr>
        <w:spacing w:after="80"/>
      </w:pPr>
      <w:r>
        <w:t xml:space="preserve">Negative binomial regression with facility count as outcome, SVI percentile as primary predictor (scaled per 10-percentile increment), and log(adult ≥45 population) as offset. Report incidence rate ratios with 95% confidence intervals.</w:t>
      </w:r>
    </w:p>
    <w:p>
      <w:pPr>
        <w:pStyle w:val="ListParagraph"/>
        <w:numPr>
          <w:ilvl w:val="0"/>
          <w:numId w:val="2"/>
        </w:numPr>
        <w:spacing w:after="80"/>
      </w:pPr>
      <w:r>
        <w:t xml:space="preserve">Goodness of fit: dispersion parameter; compare AIC against Poisson model to justify negative binomial.</w:t>
      </w:r>
    </w:p>
    <w:p>
      <w:pPr>
        <w:pStyle w:val="Heading2"/>
        <w:spacing w:after="120" w:before="240"/>
      </w:pPr>
      <w:r>
        <w:t xml:space="preserve">3.4 Sensitivity analyses</w:t>
      </w:r>
    </w:p>
    <w:p>
      <w:pPr>
        <w:pStyle w:val="ListParagraph"/>
        <w:numPr>
          <w:ilvl w:val="0"/>
          <w:numId w:val="2"/>
        </w:numPr>
        <w:spacing w:after="80"/>
      </w:pPr>
      <w:r>
        <w:t xml:space="preserve">Restrict cohort to "Accredited" status only, excluding 23 "Under Review" facilities.</w:t>
      </w:r>
    </w:p>
    <w:p>
      <w:pPr>
        <w:pStyle w:val="ListParagraph"/>
        <w:numPr>
          <w:ilvl w:val="0"/>
          <w:numId w:val="2"/>
        </w:numPr>
        <w:spacing w:after="80"/>
      </w:pPr>
      <w:r>
        <w:t xml:space="preserve">Replace continuous SVI with quartile indicator variables in the regression model.</w:t>
      </w:r>
    </w:p>
    <w:p>
      <w:pPr>
        <w:pStyle w:val="ListParagraph"/>
        <w:numPr>
          <w:ilvl w:val="0"/>
          <w:numId w:val="2"/>
        </w:numPr>
        <w:spacing w:after="80"/>
      </w:pPr>
      <w:r>
        <w:t xml:space="preserve">Stratified analysis by metropolitan versus nonmetropolitan status to assess effect modification by rurality.</w:t>
      </w:r>
    </w:p>
    <w:p>
      <w:pPr>
        <w:pStyle w:val="Heading1"/>
        <w:spacing w:after="160" w:before="320"/>
      </w:pPr>
      <w:r>
        <w:t xml:space="preserve">4. Deliverables</w:t>
      </w:r>
    </w:p>
    <w:p>
      <w:pPr>
        <w:pStyle w:val="Heading2"/>
        <w:spacing w:after="120" w:before="240"/>
      </w:pPr>
      <w:r>
        <w:t xml:space="preserve">4.1 Linked analytic dataset</w:t>
      </w:r>
    </w:p>
    <w:p>
      <w:pPr>
        <w:spacing w:after="120"/>
      </w:pPr>
      <w:r>
        <w:t xml:space="preserve">A single county-level CSV with the following columns, one row per county:</w:t>
      </w:r>
    </w:p>
    <w:p>
      <w:pPr>
        <w:pStyle w:val="ListParagraph"/>
        <w:numPr>
          <w:ilvl w:val="0"/>
          <w:numId w:val="2"/>
        </w:numPr>
        <w:spacing w:after="80"/>
      </w:pPr>
      <w:r>
        <w:t xml:space="preserve">County FIPS (5-digit, character)</w:t>
      </w:r>
    </w:p>
    <w:p>
      <w:pPr>
        <w:pStyle w:val="ListParagraph"/>
        <w:numPr>
          <w:ilvl w:val="0"/>
          <w:numId w:val="2"/>
        </w:numPr>
        <w:spacing w:after="80"/>
      </w:pPr>
      <w:r>
        <w:t xml:space="preserve">State abbreviation</w:t>
      </w:r>
    </w:p>
    <w:p>
      <w:pPr>
        <w:pStyle w:val="ListParagraph"/>
        <w:numPr>
          <w:ilvl w:val="0"/>
          <w:numId w:val="2"/>
        </w:numPr>
        <w:spacing w:after="80"/>
      </w:pPr>
      <w:r>
        <w:t xml:space="preserve">County name</w:t>
      </w:r>
    </w:p>
    <w:p>
      <w:pPr>
        <w:pStyle w:val="ListParagraph"/>
        <w:numPr>
          <w:ilvl w:val="0"/>
          <w:numId w:val="2"/>
        </w:numPr>
        <w:spacing w:after="80"/>
      </w:pPr>
      <w:r>
        <w:t xml:space="preserve">ACR Cardiac MRI facility count</w:t>
      </w:r>
    </w:p>
    <w:p>
      <w:pPr>
        <w:pStyle w:val="ListParagraph"/>
        <w:numPr>
          <w:ilvl w:val="0"/>
          <w:numId w:val="2"/>
        </w:numPr>
        <w:spacing w:after="80"/>
      </w:pPr>
      <w:r>
        <w:t xml:space="preserve">ACR Cardiac CT facility count</w:t>
      </w:r>
    </w:p>
    <w:p>
      <w:pPr>
        <w:pStyle w:val="ListParagraph"/>
        <w:numPr>
          <w:ilvl w:val="0"/>
          <w:numId w:val="2"/>
        </w:numPr>
        <w:spacing w:after="80"/>
      </w:pPr>
      <w:r>
        <w:t xml:space="preserve">SVI percentile rank (RPL_THEMES)</w:t>
      </w:r>
    </w:p>
    <w:p>
      <w:pPr>
        <w:pStyle w:val="ListParagraph"/>
        <w:numPr>
          <w:ilvl w:val="0"/>
          <w:numId w:val="2"/>
        </w:numPr>
        <w:spacing w:after="80"/>
      </w:pPr>
      <w:r>
        <w:t xml:space="preserve">SVI quartile (1–4)</w:t>
      </w:r>
    </w:p>
    <w:p>
      <w:pPr>
        <w:pStyle w:val="ListParagraph"/>
        <w:numPr>
          <w:ilvl w:val="0"/>
          <w:numId w:val="2"/>
        </w:numPr>
        <w:spacing w:after="80"/>
      </w:pPr>
      <w:r>
        <w:t xml:space="preserve">RUCC code (1–9)</w:t>
      </w:r>
    </w:p>
    <w:p>
      <w:pPr>
        <w:pStyle w:val="ListParagraph"/>
        <w:numPr>
          <w:ilvl w:val="0"/>
          <w:numId w:val="2"/>
        </w:numPr>
        <w:spacing w:after="80"/>
      </w:pPr>
      <w:r>
        <w:t xml:space="preserve">Metropolitan indicator (1 if RUCC 1–3, else 0)</w:t>
      </w:r>
    </w:p>
    <w:p>
      <w:pPr>
        <w:pStyle w:val="ListParagraph"/>
        <w:numPr>
          <w:ilvl w:val="0"/>
          <w:numId w:val="2"/>
        </w:numPr>
        <w:spacing w:after="80"/>
      </w:pPr>
      <w:r>
        <w:t xml:space="preserve">Total population</w:t>
      </w:r>
    </w:p>
    <w:p>
      <w:pPr>
        <w:pStyle w:val="ListParagraph"/>
        <w:numPr>
          <w:ilvl w:val="0"/>
          <w:numId w:val="2"/>
        </w:numPr>
        <w:spacing w:after="80"/>
      </w:pPr>
      <w:r>
        <w:t xml:space="preserve">Adult population aged ≥45</w:t>
      </w:r>
    </w:p>
    <w:p>
      <w:pPr>
        <w:pStyle w:val="ListParagraph"/>
        <w:numPr>
          <w:ilvl w:val="0"/>
          <w:numId w:val="2"/>
        </w:numPr>
        <w:spacing w:after="80"/>
      </w:pPr>
      <w:r>
        <w:t xml:space="preserve">CMR rate per 100,000 adults ≥45</w:t>
      </w:r>
    </w:p>
    <w:p>
      <w:pPr>
        <w:pStyle w:val="ListParagraph"/>
        <w:numPr>
          <w:ilvl w:val="0"/>
          <w:numId w:val="2"/>
        </w:numPr>
        <w:spacing w:after="80"/>
      </w:pPr>
      <w:r>
        <w:t xml:space="preserve">CCT rate per 100,000 adults ≥45</w:t>
      </w:r>
    </w:p>
    <w:p>
      <w:pPr>
        <w:pStyle w:val="ListParagraph"/>
        <w:numPr>
          <w:ilvl w:val="0"/>
          <w:numId w:val="2"/>
        </w:numPr>
        <w:spacing w:after="80"/>
      </w:pPr>
      <w:r>
        <w:t xml:space="preserve">Rate-excluded flag (1 if adult ≥45 population &lt;1,000)</w:t>
      </w:r>
    </w:p>
    <w:p>
      <w:pPr>
        <w:pStyle w:val="Heading2"/>
        <w:spacing w:after="120" w:before="240"/>
      </w:pPr>
      <w:r>
        <w:t xml:space="preserve">4.2 Figure 1 — Choropleth map</w:t>
      </w:r>
    </w:p>
    <w:p>
      <w:pPr>
        <w:spacing w:after="120"/>
      </w:pPr>
      <w:r>
        <w:t xml:space="preserve">Two-panel choropleth, US counties, contiguous 48 states plus Alaska and Hawaii insets.</w:t>
      </w:r>
    </w:p>
    <w:p>
      <w:pPr>
        <w:pStyle w:val="Heading3"/>
        <w:spacing w:after="100" w:before="180"/>
      </w:pPr>
      <w:r>
        <w:t xml:space="preserve">Panel layout</w:t>
      </w:r>
    </w:p>
    <w:p>
      <w:pPr>
        <w:pStyle w:val="ListParagraph"/>
        <w:numPr>
          <w:ilvl w:val="0"/>
          <w:numId w:val="2"/>
        </w:numPr>
        <w:spacing w:after="80"/>
      </w:pPr>
      <w:r>
        <w:t xml:space="preserve">Panel A: ACR-accredited Cardiac MRI facilities per 100,000 adults ≥45, by county.</w:t>
      </w:r>
    </w:p>
    <w:p>
      <w:pPr>
        <w:pStyle w:val="ListParagraph"/>
        <w:numPr>
          <w:ilvl w:val="0"/>
          <w:numId w:val="2"/>
        </w:numPr>
        <w:spacing w:after="80"/>
      </w:pPr>
      <w:r>
        <w:t xml:space="preserve">Panel B: ACR-accredited Cardiac CT facilities per 100,000 adults ≥45, by county.</w:t>
      </w:r>
    </w:p>
    <w:p>
      <w:pPr>
        <w:pStyle w:val="ListParagraph"/>
        <w:numPr>
          <w:ilvl w:val="0"/>
          <w:numId w:val="2"/>
        </w:numPr>
        <w:spacing w:after="80"/>
      </w:pPr>
      <w:r>
        <w:t xml:space="preserve">Panels arranged vertically (A above B) or side-by-side — analyst preference. Vertical recommended for portrait journal layout.</w:t>
      </w:r>
    </w:p>
    <w:p>
      <w:pPr>
        <w:pStyle w:val="Heading3"/>
        <w:spacing w:after="100" w:before="180"/>
      </w:pPr>
      <w:r>
        <w:t xml:space="preserve">Color and binning</w:t>
      </w:r>
    </w:p>
    <w:p>
      <w:pPr>
        <w:pStyle w:val="ListParagraph"/>
        <w:numPr>
          <w:ilvl w:val="0"/>
          <w:numId w:val="2"/>
        </w:numPr>
        <w:spacing w:after="80"/>
      </w:pPr>
      <w:r>
        <w:t xml:space="preserve">Sequential single-hue palette (blues recommended for accessibility and to avoid political-map associations).</w:t>
      </w:r>
    </w:p>
    <w:p>
      <w:pPr>
        <w:pStyle w:val="ListParagraph"/>
        <w:numPr>
          <w:ilvl w:val="0"/>
          <w:numId w:val="2"/>
        </w:numPr>
        <w:spacing w:after="80"/>
      </w:pPr>
      <w:r>
        <w:t xml:space="preserve">Five bins on the non-zero distribution, plus a distinct sixth color (light gray) for zero-facility counties.</w:t>
      </w:r>
    </w:p>
    <w:p>
      <w:pPr>
        <w:pStyle w:val="ListParagraph"/>
        <w:numPr>
          <w:ilvl w:val="0"/>
          <w:numId w:val="2"/>
        </w:numPr>
        <w:spacing w:after="80"/>
      </w:pPr>
      <w:r>
        <w:t xml:space="preserve">White reserved for counties excluded from rate calculation (adult ≥45 population &lt;1,000).</w:t>
      </w:r>
    </w:p>
    <w:p>
      <w:pPr>
        <w:pStyle w:val="ListParagraph"/>
        <w:numPr>
          <w:ilvl w:val="0"/>
          <w:numId w:val="2"/>
        </w:numPr>
        <w:spacing w:after="80"/>
      </w:pPr>
      <w:r>
        <w:t xml:space="preserve">Binning method: quantile-based for primary figure; analyst may also generate a natural-breaks (Jenks) version for comparison. Document the method chosen in the figure legend.</w:t>
      </w:r>
    </w:p>
    <w:p>
      <w:pPr>
        <w:pStyle w:val="Heading3"/>
        <w:spacing w:after="100" w:before="180"/>
      </w:pPr>
      <w:r>
        <w:t xml:space="preserve">Projection and boundaries</w:t>
      </w:r>
    </w:p>
    <w:p>
      <w:pPr>
        <w:pStyle w:val="ListParagraph"/>
        <w:numPr>
          <w:ilvl w:val="0"/>
          <w:numId w:val="2"/>
        </w:numPr>
        <w:spacing w:after="80"/>
      </w:pPr>
      <w:r>
        <w:t xml:space="preserve">Albers USA composite projection for the lower 48; Alaska and Hawaii rendered as insets in their own appropriate projections. Do not stretch Alaska to lower-48 scale.</w:t>
      </w:r>
    </w:p>
    <w:p>
      <w:pPr>
        <w:pStyle w:val="ListParagraph"/>
        <w:numPr>
          <w:ilvl w:val="0"/>
          <w:numId w:val="2"/>
        </w:numPr>
        <w:spacing w:after="80"/>
      </w:pPr>
      <w:r>
        <w:t xml:space="preserve">State boundaries: thin dark gray overlay, no fill.</w:t>
      </w:r>
    </w:p>
    <w:p>
      <w:pPr>
        <w:pStyle w:val="ListParagraph"/>
        <w:numPr>
          <w:ilvl w:val="0"/>
          <w:numId w:val="2"/>
        </w:numPr>
        <w:spacing w:after="80"/>
      </w:pPr>
      <w:r>
        <w:t xml:space="preserve">County boundaries: hairline, lighter gray.</w:t>
      </w:r>
    </w:p>
    <w:p>
      <w:pPr>
        <w:pStyle w:val="Heading3"/>
        <w:spacing w:after="100" w:before="180"/>
      </w:pPr>
      <w:r>
        <w:t xml:space="preserve">Format and resolution</w:t>
      </w:r>
    </w:p>
    <w:p>
      <w:pPr>
        <w:pStyle w:val="ListParagraph"/>
        <w:numPr>
          <w:ilvl w:val="0"/>
          <w:numId w:val="2"/>
        </w:numPr>
        <w:spacing w:after="80"/>
      </w:pPr>
      <w:r>
        <w:t xml:space="preserve">Vector format preferred (PDF or EPS) for journal submission.</w:t>
      </w:r>
    </w:p>
    <w:p>
      <w:pPr>
        <w:pStyle w:val="ListParagraph"/>
        <w:numPr>
          <w:ilvl w:val="0"/>
          <w:numId w:val="2"/>
        </w:numPr>
        <w:spacing w:after="80"/>
      </w:pPr>
      <w:r>
        <w:t xml:space="preserve">Minimum 600 dpi if delivered as raster (PNG fallback).</w:t>
      </w:r>
    </w:p>
    <w:p>
      <w:pPr>
        <w:pStyle w:val="ListParagraph"/>
        <w:numPr>
          <w:ilvl w:val="0"/>
          <w:numId w:val="2"/>
        </w:numPr>
        <w:spacing w:after="80"/>
      </w:pPr>
      <w:r>
        <w:t xml:space="preserve">Annotation box at lower-right: brief note on exclusions and color scheme.</w:t>
      </w:r>
    </w:p>
    <w:p>
      <w:pPr>
        <w:pStyle w:val="Heading3"/>
        <w:spacing w:after="100" w:before="180"/>
      </w:pPr>
      <w:r>
        <w:t xml:space="preserve">Draft figure legend (to be refined by Dr. Naeem)</w:t>
      </w:r>
    </w:p>
    <w:p>
      <w:pPr>
        <w:spacing w:after="120"/>
      </w:pPr>
      <w:r>
        <w:rPr>
          <w:i/>
          <w:iCs/>
          <w:sz w:val="20"/>
          <w:szCs w:val="20"/>
        </w:rPr>
        <w:t xml:space="preserve">Figure 1. Geographic distribution of ACR-accredited cardiac imaging capacity by US county. Choropleth maps show the number of facilities accredited by the American College of Radiology for (A) Cardiac MRI and (B) Cardiac CT, per 100,000 adults aged ≥45 years, by county. Color intensity indicates facility density (quantile-binned). Light gray indicates counties with zero accredited facilities. White indicates counties excluded from rate calculation due to small adult population. County boundaries derived from US Census TIGER/Line 2023 shapefiles. Alaska and Hawaii are shown as insets and are not to scale.</w:t>
      </w:r>
    </w:p>
    <w:p>
      <w:pPr>
        <w:pStyle w:val="Heading2"/>
        <w:spacing w:after="120" w:before="240"/>
      </w:pPr>
      <w:r>
        <w:t xml:space="preserve">4.3 Table 1 — Capacity by SVI quartile and rurality</w:t>
      </w:r>
    </w:p>
    <w:p>
      <w:pPr>
        <w:spacing w:after="120"/>
      </w:pPr>
      <w:r>
        <w:t xml:space="preserve">Single table summarizing capacity across strata. Rows are strata, columns are metrics.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100"/>
        <w:gridCol w:w="1100"/>
        <w:gridCol w:w="1100"/>
        <w:gridCol w:w="1100"/>
        <w:gridCol w:w="880"/>
        <w:gridCol w:w="880"/>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left"/>
            </w:pPr>
            <w:r>
              <w:rPr>
                <w:b/>
                <w:bCs/>
                <w:color w:val="FFFFFF"/>
                <w:sz w:val="18"/>
                <w:szCs w:val="18"/>
              </w:rPr>
              <w:t xml:space="preserve">Stratum</w:t>
            </w:r>
          </w:p>
        </w:tc>
        <w:tc>
          <w:tcPr>
            <w:tcW w:type="dxa" w:w="9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b/>
                <w:bCs/>
                <w:color w:val="FFFFFF"/>
                <w:sz w:val="18"/>
                <w:szCs w:val="18"/>
              </w:rPr>
              <w:t xml:space="preserve">n counties</w:t>
            </w:r>
          </w:p>
        </w:tc>
        <w:tc>
          <w:tcPr>
            <w:tcW w:type="dxa" w:w="11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b/>
                <w:bCs/>
                <w:color w:val="FFFFFF"/>
                <w:sz w:val="18"/>
                <w:szCs w:val="18"/>
              </w:rPr>
              <w:t xml:space="preserve">Adult ≥45 pop. (millions)</w:t>
            </w:r>
          </w:p>
        </w:tc>
        <w:tc>
          <w:tcPr>
            <w:tcW w:type="dxa" w:w="11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b/>
                <w:bCs/>
                <w:color w:val="FFFFFF"/>
                <w:sz w:val="18"/>
                <w:szCs w:val="18"/>
              </w:rPr>
              <w:t xml:space="preserve">CMR sites, n</w:t>
            </w:r>
          </w:p>
        </w:tc>
        <w:tc>
          <w:tcPr>
            <w:tcW w:type="dxa" w:w="11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b/>
                <w:bCs/>
                <w:color w:val="FFFFFF"/>
                <w:sz w:val="18"/>
                <w:szCs w:val="18"/>
              </w:rPr>
              <w:t xml:space="preserve">Counties with ≥1 CMR, n (%)</w:t>
            </w:r>
          </w:p>
        </w:tc>
        <w:tc>
          <w:tcPr>
            <w:tcW w:type="dxa" w:w="11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b/>
                <w:bCs/>
                <w:color w:val="FFFFFF"/>
                <w:sz w:val="18"/>
                <w:szCs w:val="18"/>
              </w:rPr>
              <w:t xml:space="preserve">CMR rate per 100k, median (IQR)</w:t>
            </w:r>
          </w:p>
        </w:tc>
        <w:tc>
          <w:tcPr>
            <w:tcW w:type="dxa" w:w="88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b/>
                <w:bCs/>
                <w:color w:val="FFFFFF"/>
                <w:sz w:val="18"/>
                <w:szCs w:val="18"/>
              </w:rPr>
              <w:t xml:space="preserve">CCT sites, n</w:t>
            </w:r>
          </w:p>
        </w:tc>
        <w:tc>
          <w:tcPr>
            <w:tcW w:type="dxa" w:w="88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b/>
                <w:bCs/>
                <w:color w:val="FFFFFF"/>
                <w:sz w:val="18"/>
                <w:szCs w:val="18"/>
              </w:rPr>
              <w:t xml:space="preserve">CCT rate per 100k, median (IQR)</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sz w:val="18"/>
                <w:szCs w:val="18"/>
              </w:rPr>
              <w:t xml:space="preserve">All counties</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r>
      <w:tr>
        <w:tc>
          <w:tcPr>
            <w:tcW w:type="dxa" w:w="9460"/>
            <w:gridSpan w:val="8"/>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tcPr>
          <w:p>
            <w:r>
              <w:rPr>
                <w:b/>
                <w:bCs/>
                <w:i/>
                <w:iCs/>
                <w:sz w:val="18"/>
                <w:szCs w:val="18"/>
              </w:rPr>
              <w:t xml:space="preserve">By Social Vulnerability Index quartile</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sz w:val="18"/>
                <w:szCs w:val="18"/>
              </w:rPr>
              <w:t xml:space="preserve">Q1 (least vulnerable)</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sz w:val="18"/>
                <w:szCs w:val="18"/>
              </w:rPr>
              <w:t xml:space="preserve">Q2</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sz w:val="18"/>
                <w:szCs w:val="18"/>
              </w:rPr>
              <w:t xml:space="preserve">Q3</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sz w:val="18"/>
                <w:szCs w:val="18"/>
              </w:rPr>
              <w:t xml:space="preserve">Q4 (most vulnerable)</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r>
      <w:tr>
        <w:tc>
          <w:tcPr>
            <w:tcW w:type="dxa" w:w="9460"/>
            <w:gridSpan w:val="8"/>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tcPr>
          <w:p>
            <w:r>
              <w:rPr>
                <w:b/>
                <w:bCs/>
                <w:i/>
                <w:iCs/>
                <w:sz w:val="18"/>
                <w:szCs w:val="18"/>
              </w:rPr>
              <w:t xml:space="preserve">By rurality</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sz w:val="18"/>
                <w:szCs w:val="18"/>
              </w:rPr>
              <w:t xml:space="preserve">Metropolitan (RUCC 1–3)</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r>
      <w:t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sz w:val="18"/>
                <w:szCs w:val="18"/>
              </w:rPr>
              <w:t xml:space="preserve">Nonmetropolitan (RUCC 4–9)</w:t>
            </w:r>
          </w:p>
        </w:tc>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c>
          <w:tcPr>
            <w:tcW w:type="dxa" w:w="88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sz w:val="18"/>
                <w:szCs w:val="18"/>
              </w:rPr>
              <w:t xml:space="preserve">—</w:t>
            </w:r>
          </w:p>
        </w:tc>
      </w:tr>
    </w:tbl>
    <w:p>
      <w:pPr>
        <w:spacing w:after="120" w:before="120"/>
      </w:pPr>
      <w:r>
        <w:rPr>
          <w:i/>
          <w:iCs/>
          <w:sz w:val="20"/>
          <w:szCs w:val="20"/>
        </w:rPr>
        <w:t xml:space="preserve">Bottom of table to include Spearman correlation row: facility rate versus SVI percentile (continuous), with p-value, separately for CMR and CCT.</w:t>
      </w:r>
    </w:p>
    <w:p>
      <w:pPr>
        <w:spacing w:after="200"/>
      </w:pPr>
      <w:r>
        <w:rPr>
          <w:i/>
          <w:iCs/>
          <w:sz w:val="18"/>
          <w:szCs w:val="18"/>
        </w:rPr>
        <w:t xml:space="preserve">Table footnote: SVI from CDC/ATSDR 2022, overall percentile rank. RUCC from USDA ERS 2023. Population denominators from ACS 5-year estimates 2019–2023. Counties with &lt;1,000 adults aged ≥45 excluded from rate calculations.</w:t>
      </w:r>
    </w:p>
    <w:p>
      <w:pPr>
        <w:pStyle w:val="Heading2"/>
        <w:spacing w:after="120" w:before="240"/>
      </w:pPr>
      <w:r>
        <w:t xml:space="preserve">4.4 Regression output</w:t>
      </w:r>
    </w:p>
    <w:p>
      <w:pPr>
        <w:spacing w:after="120"/>
      </w:pPr>
      <w:r>
        <w:t xml:space="preserve">Regression results to be reported inline in the manuscript Results section rather than as a separate table. Analyst to deliver as a short text summary plus the underlying model objects (R rds or Python pickle), including:</w:t>
      </w:r>
    </w:p>
    <w:p>
      <w:pPr>
        <w:pStyle w:val="ListParagraph"/>
        <w:numPr>
          <w:ilvl w:val="0"/>
          <w:numId w:val="2"/>
        </w:numPr>
        <w:spacing w:after="80"/>
      </w:pPr>
      <w:r>
        <w:t xml:space="preserve">IRR with 95% CI for SVI percentile (per 10-percentile increment) on CMR facility count, with log(adult ≥45 population) as offset.</w:t>
      </w:r>
    </w:p>
    <w:p>
      <w:pPr>
        <w:pStyle w:val="ListParagraph"/>
        <w:numPr>
          <w:ilvl w:val="0"/>
          <w:numId w:val="2"/>
        </w:numPr>
        <w:spacing w:after="80"/>
      </w:pPr>
      <w:r>
        <w:t xml:space="preserve">Same model for CCT facility count.</w:t>
      </w:r>
    </w:p>
    <w:p>
      <w:pPr>
        <w:pStyle w:val="ListParagraph"/>
        <w:numPr>
          <w:ilvl w:val="0"/>
          <w:numId w:val="2"/>
        </w:numPr>
        <w:spacing w:after="80"/>
      </w:pPr>
      <w:r>
        <w:t xml:space="preserve">Sensitivity model: "Accredited" status only.</w:t>
      </w:r>
    </w:p>
    <w:p>
      <w:pPr>
        <w:pStyle w:val="ListParagraph"/>
        <w:numPr>
          <w:ilvl w:val="0"/>
          <w:numId w:val="2"/>
        </w:numPr>
        <w:spacing w:after="80"/>
      </w:pPr>
      <w:r>
        <w:t xml:space="preserve">Sensitivity model: SVI quartile dummies in place of continuous SVI.</w:t>
      </w:r>
    </w:p>
    <w:p>
      <w:pPr>
        <w:pStyle w:val="ListParagraph"/>
        <w:numPr>
          <w:ilvl w:val="0"/>
          <w:numId w:val="2"/>
        </w:numPr>
        <w:spacing w:after="80"/>
      </w:pPr>
      <w:r>
        <w:t xml:space="preserve">Dispersion parameter and AIC comparison against Poisson.</w:t>
      </w:r>
    </w:p>
    <w:p>
      <w:pPr>
        <w:pStyle w:val="Heading2"/>
        <w:spacing w:after="120" w:before="240"/>
      </w:pPr>
      <w:r>
        <w:t xml:space="preserve">4.5 Reproducibility</w:t>
      </w:r>
    </w:p>
    <w:p>
      <w:pPr>
        <w:pStyle w:val="ListParagraph"/>
        <w:numPr>
          <w:ilvl w:val="0"/>
          <w:numId w:val="2"/>
        </w:numPr>
        <w:spacing w:after="80"/>
      </w:pPr>
      <w:r>
        <w:t xml:space="preserve">All code archived (R or Python — analyst preference) and shareable, with comments sufficient to reproduce from the inputs listed in Section 2.</w:t>
      </w:r>
    </w:p>
    <w:p>
      <w:pPr>
        <w:pStyle w:val="ListParagraph"/>
        <w:numPr>
          <w:ilvl w:val="0"/>
          <w:numId w:val="2"/>
        </w:numPr>
        <w:spacing w:after="80"/>
      </w:pPr>
      <w:r>
        <w:t xml:space="preserve">README documenting dataset versions, access dates, and any manual decisions (e.g., handling of multi-county ZIPs, treatment of edge cases).</w:t>
      </w:r>
    </w:p>
    <w:p>
      <w:pPr>
        <w:pStyle w:val="Heading1"/>
        <w:spacing w:after="160" w:before="320"/>
      </w:pPr>
      <w:r>
        <w:t xml:space="preserve">5. Quality Control Notes from Initial Inspection</w:t>
      </w:r>
    </w:p>
    <w:p>
      <w:pPr>
        <w:spacing w:after="120"/>
      </w:pPr>
      <w:r>
        <w:t xml:space="preserve">The following observations from preliminary inspection of the ACR dataset warrant attention during analysis:</w:t>
      </w:r>
    </w:p>
    <w:p>
      <w:pPr>
        <w:pStyle w:val="ListParagraph"/>
        <w:numPr>
          <w:ilvl w:val="0"/>
          <w:numId w:val="2"/>
        </w:numPr>
        <w:spacing w:after="80"/>
      </w:pPr>
      <w:r>
        <w:t xml:space="preserve">Five states have zero ACR-accredited Cardiac MRI sites: Alaska, New Mexico, South Dakota, Utah, and Wyoming. Utah is notable because major academic cardiac MR programs exist there; the absence in this dataset likely reflects cardiology-side IAC accreditation rather than absent capacity. This is a real signal of the ACR-only bias and should be retained in the analysis with appropriate framing in Limitations, not corrected.</w:t>
      </w:r>
    </w:p>
    <w:p>
      <w:pPr>
        <w:pStyle w:val="ListParagraph"/>
        <w:numPr>
          <w:ilvl w:val="0"/>
          <w:numId w:val="2"/>
        </w:numPr>
        <w:spacing w:after="80"/>
      </w:pPr>
      <w:r>
        <w:t xml:space="preserve">One state (South Dakota) has zero ACR-accredited Cardiac CT sites.</w:t>
      </w:r>
    </w:p>
    <w:p>
      <w:pPr>
        <w:pStyle w:val="ListParagraph"/>
        <w:numPr>
          <w:ilvl w:val="0"/>
          <w:numId w:val="2"/>
        </w:numPr>
        <w:spacing w:after="80"/>
      </w:pPr>
      <w:r>
        <w:t xml:space="preserve">All 2,273 records have ZIP codes populated, supporting clean ZIP-to-FIPS geocoding.</w:t>
      </w:r>
    </w:p>
    <w:p>
      <w:pPr>
        <w:pStyle w:val="ListParagraph"/>
        <w:numPr>
          <w:ilvl w:val="0"/>
          <w:numId w:val="2"/>
        </w:numPr>
        <w:spacing w:after="80"/>
      </w:pPr>
      <w:r>
        <w:t xml:space="preserve">NPI is populated for 1,430 of 2,273 records (~63%). NPI is not required for the spatial join but is useful for de-duplication and for cross-walking to AHA hospital data in any post-hoc analyses.</w:t>
      </w:r>
    </w:p>
    <w:p>
      <w:pPr>
        <w:pStyle w:val="Heading1"/>
        <w:spacing w:after="160" w:before="320"/>
      </w:pPr>
      <w:r>
        <w:t xml:space="preserve">6.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sz w:val="20"/>
                <w:szCs w:val="20"/>
              </w:rPr>
              <w:t xml:space="preserve">Date</w:t>
            </w:r>
          </w:p>
        </w:tc>
        <w:tc>
          <w:tcPr>
            <w:tcW w:type="dxa" w:w="71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sz w:val="20"/>
                <w:szCs w:val="20"/>
              </w:rPr>
              <w:t xml:space="preserve">Milestone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Wed May 20</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Scope and fee agreed; engagement confirmed.</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Thu May 21 – Sat May 23</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Data linkage, descriptive analysis, first-pass figure and table drafts, regression runs.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Sun May 24</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First analytic output delivered: linked dataset, figure draft, table draft, regression results.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Mon May 25 – Tue May 26</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Revisions based on Dr. Naeem feedback.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Wed May 27</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Figure and table finalized for manuscript inclusion.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Thu May 28 – Sat May 30</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Manuscript drafting; analyst reviews Methods and Results sections.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Sun May 31</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Final analyst sign-off on Methods, Results, figure, and table.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Mon Jun 1</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Submission to JACC: Advances.</w:t>
            </w:r>
          </w:p>
        </w:tc>
      </w:tr>
    </w:tbl>
    <w:p>
      <w:pPr>
        <w:pStyle w:val="Heading1"/>
        <w:spacing w:after="160" w:before="320"/>
      </w:pPr>
      <w:r>
        <w:t xml:space="preserve">7. Commercial and Authorship Items to Confirm</w:t>
      </w:r>
    </w:p>
    <w:p>
      <w:pPr>
        <w:pStyle w:val="Heading2"/>
        <w:spacing w:after="120" w:before="240"/>
      </w:pPr>
      <w:r>
        <w:t xml:space="preserve">7.1 Fee structure</w:t>
      </w:r>
    </w:p>
    <w:p>
      <w:pPr>
        <w:spacing w:after="120"/>
      </w:pPr>
      <w:r>
        <w:t xml:space="preserve">Request a fixed-fee quote rather than hourly billing, based on the deliverables defined in Section 4. Estimated scope is approximately 15–20 hours of work. The fixed-fee structure caps exposure for both parties and reduces administrative overhead during a short sprint.</w:t>
      </w:r>
    </w:p>
    <w:p>
      <w:pPr>
        <w:spacing w:after="120"/>
      </w:pPr>
      <w:r>
        <w:t xml:space="preserve">Items to clarify:</w:t>
      </w:r>
    </w:p>
    <w:p>
      <w:pPr>
        <w:pStyle w:val="ListParagraph"/>
        <w:numPr>
          <w:ilvl w:val="0"/>
          <w:numId w:val="2"/>
        </w:numPr>
        <w:spacing w:after="80"/>
      </w:pPr>
      <w:r>
        <w:t xml:space="preserve">Inclusions: data linkage, descriptive analysis, regression, figure, table, code archive.</w:t>
      </w:r>
    </w:p>
    <w:p>
      <w:pPr>
        <w:pStyle w:val="ListParagraph"/>
        <w:numPr>
          <w:ilvl w:val="0"/>
          <w:numId w:val="2"/>
        </w:numPr>
        <w:spacing w:after="80"/>
      </w:pPr>
      <w:r>
        <w:t xml:space="preserve">Exclusions and additional-fee triggers: re-analyses requested by peer reviewers after submission; scope changes initiated by Dr. Naeem mid-project.</w:t>
      </w:r>
    </w:p>
    <w:p>
      <w:pPr>
        <w:pStyle w:val="ListParagraph"/>
        <w:numPr>
          <w:ilvl w:val="0"/>
          <w:numId w:val="2"/>
        </w:numPr>
        <w:spacing w:after="80"/>
      </w:pPr>
      <w:r>
        <w:t xml:space="preserve">Payment mechanism and Mayo Clinic procurement pathway.</w:t>
      </w:r>
    </w:p>
    <w:p>
      <w:pPr>
        <w:pStyle w:val="Heading2"/>
        <w:spacing w:after="120" w:before="240"/>
      </w:pPr>
      <w:r>
        <w:t xml:space="preserve">7.2 Authorship</w:t>
      </w:r>
    </w:p>
    <w:p>
      <w:pPr>
        <w:spacing w:after="120"/>
      </w:pPr>
      <w:r>
        <w:t xml:space="preserve">Middle-author position offered, contingent on meeting ICMJE authorship criteria:</w:t>
      </w:r>
    </w:p>
    <w:p>
      <w:pPr>
        <w:pStyle w:val="ListParagraph"/>
        <w:numPr>
          <w:ilvl w:val="0"/>
          <w:numId w:val="3"/>
        </w:numPr>
        <w:spacing w:after="80"/>
      </w:pPr>
      <w:r>
        <w:t xml:space="preserve">Substantial contributions to the conception or design of the analysis, or the acquisition, analysis, or interpretation of data.</w:t>
      </w:r>
    </w:p>
    <w:p>
      <w:pPr>
        <w:pStyle w:val="ListParagraph"/>
        <w:numPr>
          <w:ilvl w:val="0"/>
          <w:numId w:val="3"/>
        </w:numPr>
        <w:spacing w:after="80"/>
      </w:pPr>
      <w:r>
        <w:t xml:space="preserve">Drafting the work or revising it critically for important intellectual content, specifically the Methods and Results sections.</w:t>
      </w:r>
    </w:p>
    <w:p>
      <w:pPr>
        <w:pStyle w:val="ListParagraph"/>
        <w:numPr>
          <w:ilvl w:val="0"/>
          <w:numId w:val="3"/>
        </w:numPr>
        <w:spacing w:after="80"/>
      </w:pPr>
      <w:r>
        <w:t xml:space="preserve">Final approval of the version to be published.</w:t>
      </w:r>
    </w:p>
    <w:p>
      <w:pPr>
        <w:pStyle w:val="ListParagraph"/>
        <w:numPr>
          <w:ilvl w:val="0"/>
          <w:numId w:val="3"/>
        </w:numPr>
        <w:spacing w:after="80"/>
      </w:pPr>
      <w:r>
        <w:t xml:space="preserve">Agreement to be accountable for all aspects of the work.</w:t>
      </w:r>
    </w:p>
    <w:p>
      <w:pPr>
        <w:spacing w:after="120"/>
      </w:pPr>
      <w:r>
        <w:t xml:space="preserve">GISP credential to be listed in author affiliations. Disclosure of paid consultant arrangement to be included in the manuscript Disclosures section per ICMJE convention.</w:t>
      </w:r>
    </w:p>
    <w:p>
      <w:pPr>
        <w:pStyle w:val="Heading2"/>
        <w:spacing w:after="120" w:before="240"/>
      </w:pPr>
      <w:r>
        <w:t xml:space="preserve">7.3 Communication during the sprint</w:t>
      </w:r>
    </w:p>
    <w:p>
      <w:pPr>
        <w:pStyle w:val="ListParagraph"/>
        <w:numPr>
          <w:ilvl w:val="0"/>
          <w:numId w:val="2"/>
        </w:numPr>
        <w:spacing w:after="80"/>
      </w:pPr>
      <w:r>
        <w:t xml:space="preserve">Preferred communication channel for fast-turnaround questions (email, Slack, text).</w:t>
      </w:r>
    </w:p>
    <w:p>
      <w:pPr>
        <w:pStyle w:val="ListParagraph"/>
        <w:numPr>
          <w:ilvl w:val="0"/>
          <w:numId w:val="2"/>
        </w:numPr>
        <w:spacing w:after="80"/>
      </w:pPr>
      <w:r>
        <w:t xml:space="preserve">Expected response window (same-day, 24 hours).</w:t>
      </w:r>
    </w:p>
    <w:p>
      <w:pPr>
        <w:pStyle w:val="ListParagraph"/>
        <w:numPr>
          <w:ilvl w:val="0"/>
          <w:numId w:val="2"/>
        </w:numPr>
        <w:spacing w:after="80"/>
      </w:pPr>
      <w:r>
        <w:t xml:space="preserve">Designated point of contact for any reviewer-revision requests if the paper is accepted with revisions after submission.</w:t>
      </w:r>
    </w:p>
    <w:p>
      <w:pPr>
        <w:pStyle w:val="Heading1"/>
        <w:spacing w:after="160" w:before="320"/>
      </w:pPr>
      <w:r>
        <w:t xml:space="preserve">8. Meeting Agenda</w:t>
      </w:r>
    </w:p>
    <w:p>
      <w:pPr>
        <w:spacing w:after="120"/>
      </w:pPr>
      <w:r>
        <w:t xml:space="preserve">Suggested 40–45 minute structure for tomorrow's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sz w:val="20"/>
                <w:szCs w:val="20"/>
              </w:rPr>
              <w:t xml:space="preserve">Min</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sz w:val="20"/>
                <w:szCs w:val="20"/>
              </w:rPr>
              <w:t xml:space="preserve">Duration</w:t>
            </w:r>
          </w:p>
        </w:tc>
        <w:tc>
          <w:tcPr>
            <w:tcW w:type="dxa" w:w="71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sz w:val="20"/>
                <w:szCs w:val="20"/>
              </w:rPr>
              <w:t xml:space="preserve">Topic</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min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 scope, deadline, target journal, authorship offer.</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0:05</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10 min</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Walk through deliverables (Section 4): dataset, figure, table, regression.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0:15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min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Data sources confirmed (Section 2): what is in hand, what Shiloh sources.</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0:20</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10 min</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Methodological points to lock: county unit; ≥45 denominator; multi-county ZIP handling; "Under Review" inclusion; double-counting rule; 5 zero-MRI states.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0:30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min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Timeline — confirm Sun May 24 first-deliverable date.</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0:35</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5 min</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Fee structure — request fixed-fee quote; payment and Mayo procurement.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 min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Authorship and disclosure paperwork.</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0:43</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2 min</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sz w:val="20"/>
                <w:szCs w:val="20"/>
              </w:rPr>
              <w:t xml:space="preserve">Communication channel and response windows.</w:t>
            </w:r>
          </w:p>
        </w:tc>
      </w:tr>
    </w:tbl>
    <w:p>
      <w:pPr>
        <w:pStyle w:val="Heading2"/>
        <w:spacing w:after="120" w:before="240"/>
      </w:pPr>
      <w:r>
        <w:t xml:space="preserve">8.1 Decisions required by end of meeting</w:t>
      </w:r>
    </w:p>
    <w:p>
      <w:pPr>
        <w:pStyle w:val="ListParagraph"/>
        <w:numPr>
          <w:ilvl w:val="0"/>
          <w:numId w:val="2"/>
        </w:numPr>
        <w:spacing w:after="80"/>
      </w:pPr>
      <w:r>
        <w:t xml:space="preserve">Fixed-fee number agreed.</w:t>
      </w:r>
    </w:p>
    <w:p>
      <w:pPr>
        <w:pStyle w:val="ListParagraph"/>
        <w:numPr>
          <w:ilvl w:val="0"/>
          <w:numId w:val="2"/>
        </w:numPr>
        <w:spacing w:after="80"/>
      </w:pPr>
      <w:r>
        <w:t xml:space="preserve">Sun May 24 first-deliverable date agreed (or alternative committed date).</w:t>
      </w:r>
    </w:p>
    <w:p>
      <w:pPr>
        <w:pStyle w:val="ListParagraph"/>
        <w:numPr>
          <w:ilvl w:val="0"/>
          <w:numId w:val="2"/>
        </w:numPr>
        <w:spacing w:after="80"/>
      </w:pPr>
      <w:r>
        <w:t xml:space="preserve">Software stack agreed (R or Python) and code-sharing format.</w:t>
      </w:r>
    </w:p>
    <w:p>
      <w:pPr>
        <w:pStyle w:val="ListParagraph"/>
        <w:numPr>
          <w:ilvl w:val="0"/>
          <w:numId w:val="2"/>
        </w:numPr>
        <w:spacing w:after="80"/>
      </w:pPr>
      <w:r>
        <w:t xml:space="preserve">Mayo Clinic procurement and contract path identified.</w:t>
      </w:r>
    </w:p>
    <w:p>
      <w:pPr>
        <w:pStyle w:val="ListParagraph"/>
        <w:numPr>
          <w:ilvl w:val="0"/>
          <w:numId w:val="2"/>
        </w:numPr>
        <w:spacing w:after="80"/>
      </w:pPr>
      <w:r>
        <w:t xml:space="preserve">Co-author paperwork (ICMJE disclosure, conflict-of-interest form) to be sent.</w:t>
      </w:r>
    </w:p>
    <w:p>
      <w:pPr>
        <w:spacing w:after="120"/>
      </w:pPr>
      <w:r>
        <w:rPr>
          <w:i/>
          <w:iCs/>
          <w:color w:val="595959"/>
        </w:rPr>
        <w:t xml:space="preserve">Avoid leaving the meeting in a "we will follow up" state. The 12-day timeline does not absorb a second round of scoping.</w:t>
      </w:r>
    </w:p>
    <w:p>
      <w:pPr>
        <w:pStyle w:val="Heading1"/>
        <w:spacing w:after="160" w:before="320"/>
      </w:pPr>
      <w:r>
        <w:t xml:space="preserve">9. Reference Information</w:t>
      </w:r>
    </w:p>
    <w:p>
      <w:pPr>
        <w:pStyle w:val="Heading2"/>
        <w:spacing w:after="120" w:before="240"/>
      </w:pPr>
      <w:r>
        <w:t xml:space="preserve">9.1 Public data source URLs</w:t>
      </w:r>
    </w:p>
    <w:p>
      <w:pPr>
        <w:pStyle w:val="ListParagraph"/>
        <w:numPr>
          <w:ilvl w:val="0"/>
          <w:numId w:val="2"/>
        </w:numPr>
        <w:spacing w:after="80"/>
      </w:pPr>
      <w:r>
        <w:t xml:space="preserve">ACR Accredited Facility Search: https://www.acraccreditation.org/accredited-facility-search</w:t>
      </w:r>
    </w:p>
    <w:p>
      <w:pPr>
        <w:pStyle w:val="ListParagraph"/>
        <w:numPr>
          <w:ilvl w:val="0"/>
          <w:numId w:val="2"/>
        </w:numPr>
        <w:spacing w:after="80"/>
      </w:pPr>
      <w:r>
        <w:t xml:space="preserve">CDC/ATSDR SVI: https://www.atsdr.cdc.gov/placeandhealth/svi/</w:t>
      </w:r>
    </w:p>
    <w:p>
      <w:pPr>
        <w:pStyle w:val="ListParagraph"/>
        <w:numPr>
          <w:ilvl w:val="0"/>
          <w:numId w:val="2"/>
        </w:numPr>
        <w:spacing w:after="80"/>
      </w:pPr>
      <w:r>
        <w:t xml:space="preserve">USDA ERS RUCC: https://www.ers.usda.gov/data-products/rural-urban-continuum-codes</w:t>
      </w:r>
    </w:p>
    <w:p>
      <w:pPr>
        <w:pStyle w:val="ListParagraph"/>
        <w:numPr>
          <w:ilvl w:val="0"/>
          <w:numId w:val="2"/>
        </w:numPr>
        <w:spacing w:after="80"/>
      </w:pPr>
      <w:r>
        <w:t xml:space="preserve">HUD USPS ZIP–County Crosswalk: https://www.huduser.gov/portal/datasets/usps_crosswalk.html</w:t>
      </w:r>
    </w:p>
    <w:p>
      <w:pPr>
        <w:pStyle w:val="ListParagraph"/>
        <w:numPr>
          <w:ilvl w:val="0"/>
          <w:numId w:val="2"/>
        </w:numPr>
        <w:spacing w:after="80"/>
      </w:pPr>
      <w:r>
        <w:t xml:space="preserve">US Census ACS API: https://www.census.gov/data/developers/data-sets/acs-5year.html</w:t>
      </w:r>
    </w:p>
    <w:p>
      <w:pPr>
        <w:pStyle w:val="ListParagraph"/>
        <w:numPr>
          <w:ilvl w:val="0"/>
          <w:numId w:val="2"/>
        </w:numPr>
        <w:spacing w:after="80"/>
      </w:pPr>
      <w:r>
        <w:t xml:space="preserve">US Census TIGER/Line: https://www.census.gov/geographies/mapping-files/time-series/geo/tiger-line-file.html</w:t>
      </w:r>
    </w:p>
    <w:p>
      <w:pPr>
        <w:pStyle w:val="Heading2"/>
        <w:spacing w:after="120" w:before="240"/>
      </w:pPr>
      <w:r>
        <w:t xml:space="preserve">9.2 Journal information</w:t>
      </w:r>
    </w:p>
    <w:p>
      <w:pPr>
        <w:pStyle w:val="ListParagraph"/>
        <w:numPr>
          <w:ilvl w:val="0"/>
          <w:numId w:val="2"/>
        </w:numPr>
        <w:spacing w:after="80"/>
      </w:pPr>
      <w:r>
        <w:t xml:space="preserve">JACC: Advances Instructions for Authors: https://www.jacc.org/journal/jacc-advances/author-instructions</w:t>
      </w:r>
    </w:p>
    <w:p>
      <w:pPr>
        <w:pStyle w:val="ListParagraph"/>
        <w:numPr>
          <w:ilvl w:val="0"/>
          <w:numId w:val="2"/>
        </w:numPr>
        <w:spacing w:after="80"/>
      </w:pPr>
      <w:r>
        <w:t xml:space="preserve">Special focus issue: Best Practices Addressing Health Equity in Cardiology, submission deadline June 1, 2026.</w:t>
      </w:r>
    </w:p>
    <w:p>
      <w:pPr>
        <w:spacing w:after="120"/>
      </w:pPr>
      <w:r>
        <w:t xml:space="preserve"> </w:t>
      </w:r>
    </w:p>
    <w:p>
      <w:pPr>
        <w:spacing w:after="120"/>
        <w:jc w:val="center"/>
      </w:pPr>
      <w:r>
        <w:rPr>
          <w:i/>
          <w:iCs/>
          <w:color w:val="595959"/>
          <w:sz w:val="18"/>
          <w:szCs w:val="18"/>
        </w:rPr>
        <w:t xml:space="preserve">End of briefing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Briefing: Geographic Disparities in Cardiac Imaging</dc:title>
  <dc:creator>Muhammad Naeem, MD</dc:creator>
  <cp:lastModifiedBy>Un-named</cp:lastModifiedBy>
  <cp:revision>1</cp:revision>
  <dcterms:created xsi:type="dcterms:W3CDTF">2026-05-22T03:18:44.410Z</dcterms:created>
  <dcterms:modified xsi:type="dcterms:W3CDTF">2026-05-22T03:18:44.423Z</dcterms:modified>
</cp:coreProperties>
</file>

<file path=docProps/custom.xml><?xml version="1.0" encoding="utf-8"?>
<Properties xmlns="http://schemas.openxmlformats.org/officeDocument/2006/custom-properties" xmlns:vt="http://schemas.openxmlformats.org/officeDocument/2006/docPropsVTypes"/>
</file>