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237E"/>
          <w:sz w:val="24"/>
        </w:rPr>
        <w:t>Table 2. Negative Binomial Regression — Incidence Rate Ratios for ACR-Accredited Cardiac Imaging Facilities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6"/>
        <w:gridCol w:w="1696"/>
        <w:gridCol w:w="1696"/>
        <w:gridCol w:w="1696"/>
        <w:gridCol w:w="1696"/>
        <w:gridCol w:w="1696"/>
        <w:gridCol w:w="1696"/>
        <w:gridCol w:w="1696"/>
      </w:tblGrid>
      <w:tr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Predictor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IRR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95% CI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1696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AIC</w:t>
            </w:r>
          </w:p>
        </w:tc>
      </w:tr>
      <w:tr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CMR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per 10-pctl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0.992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0.952–1.033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0.681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3,038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1,851.0</w:t>
            </w:r>
          </w:p>
        </w:tc>
      </w:tr>
      <w:tr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CCT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per 10-pctl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1.020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0.989–1.053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0.213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3,038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3,071.3</w:t>
            </w:r>
          </w:p>
        </w:tc>
      </w:tr>
      <w:tr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Quartile (vs Q1)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CMR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0.949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0.682–1.320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0.756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3,038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1,854.3</w:t>
            </w:r>
          </w:p>
        </w:tc>
      </w:tr>
      <w:tr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CMR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1.049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0.764–1.442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0.766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CMR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Q4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0.928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0.667–1.290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0.655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Quartile (vs Q1)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CCT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1.204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0.926–1.564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0.166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3,038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3,072.1</w:t>
            </w:r>
          </w:p>
        </w:tc>
      </w:tr>
      <w:tr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CCT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1.310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1.015–1.690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0.038*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CCT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Q4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1.174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0.902–1.528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0.233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Metro Only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CMR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per 10-pctl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1.005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0.962–1.050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0.823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1,180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1,618.2</w:t>
            </w:r>
          </w:p>
        </w:tc>
      </w:tr>
      <w:tr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Metro Only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CCT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per 10-pctl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1.036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0.999–1.075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0.054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1,180</w:t>
            </w:r>
          </w:p>
        </w:tc>
        <w:tc>
          <w:tcPr>
            <w:tcW w:type="dxa" w:w="16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2,311.0</w:t>
            </w:r>
          </w:p>
        </w:tc>
      </w:tr>
      <w:tr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Nonmetro Only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CMR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per 10-pctl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0.814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0.656–1.012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0.064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1,858</w:t>
            </w:r>
          </w:p>
        </w:tc>
        <w:tc>
          <w:tcPr>
            <w:tcW w:type="dxa" w:w="1696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124.3</w:t>
            </w:r>
          </w:p>
        </w:tc>
      </w:tr>
      <w:tr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Nonmetro Only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CCT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per 10-pctl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0.982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0.913–1.056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0.620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1,858</w:t>
            </w:r>
          </w:p>
        </w:tc>
        <w:tc>
          <w:tcPr>
            <w:tcW w:type="dxa" w:w="1696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723.0</w:t>
            </w:r>
          </w:p>
        </w:tc>
      </w:tr>
    </w:tbl>
    <w:p/>
    <w:p>
      <w:r>
        <w:rPr>
          <w:rFonts w:ascii="Calibri" w:hAnsi="Calibri"/>
          <w:color w:val="555555"/>
          <w:sz w:val="16"/>
        </w:rPr>
        <w:t>Model: Count ~ NegBin(μ, α), log(μ) = β₀ + β₁·predictor + offset(ln[population ≥45]). NB2 parameterization chosen over Poisson (ΔAIC &gt; 30).</w:t>
      </w:r>
    </w:p>
    <w:p>
      <w:r>
        <w:rPr>
          <w:rFonts w:ascii="Calibri" w:hAnsi="Calibri"/>
          <w:color w:val="555555"/>
          <w:sz w:val="16"/>
        </w:rPr>
        <w:t>* Statistically significant at p &lt; 0.05.</w:t>
      </w:r>
    </w:p>
    <w:p>
      <w:r>
        <w:rPr>
          <w:rFonts w:ascii="Calibri" w:hAnsi="Calibri"/>
          <w:color w:val="555555"/>
          <w:sz w:val="16"/>
        </w:rPr>
        <w:t>Abbreviations: IRR = Incidence Rate Ratio; CI = Confidence Interval; SVI = Social Vulnerability Index; pctl = percentile; CMR = Cardiac Magnetic Resonance; CCT = Cardiac Computed Tomography; AIC = Akaike Information Criterion.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