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A237E"/>
          <w:sz w:val="24"/>
        </w:rPr>
        <w:t>Table 3. Sensitivity Analyses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Analysis</w:t>
            </w:r>
          </w:p>
        </w:tc>
        <w:tc>
          <w:tcPr>
            <w:tcW w:type="dxa" w:w="216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Modification</w:t>
            </w:r>
          </w:p>
        </w:tc>
        <w:tc>
          <w:tcPr>
            <w:tcW w:type="dxa" w:w="216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CMR Result</w:t>
            </w:r>
          </w:p>
        </w:tc>
        <w:tc>
          <w:tcPr>
            <w:tcW w:type="dxa" w:w="2160"/>
            <w:shd w:fill="1A237E"/>
            <w:vAlign w:val="center"/>
            <w:tcBorders>
              <w:top w:val="single" w:sz="12" w:color="000000"/>
              <w:bottom w:val="single" w:sz="8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CCT Result</w:t>
            </w:r>
          </w:p>
        </w:tc>
      </w:tr>
      <w:tr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Accredited-only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Exclude 23 Under Review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Virtually identical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Virtually identical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SVI Quartile Dummies (ref=Q1)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Categorical SVI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No dose-response (all p&gt;0.6)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Q3 borderline (IRR 1.31, p=0.038)</w:t>
            </w:r>
          </w:p>
        </w:tc>
      </w:tr>
      <w:tr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Metro-stratified (Metro)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Restrict to RUCC 1–3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IRR 1.005, p=0.82</w:t>
            </w:r>
          </w:p>
        </w:tc>
        <w:tc>
          <w:tcPr>
            <w:tcW w:type="dxa" w:w="2160"/>
            <w:shd w:fill="F0F4FF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IRR 1.036, p=0.054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Metro-stratified (Nonmetro)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Restrict to RUCC 4–9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IRR 0.814, p=0.064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IRR 0.982, p=0.62</w:t>
            </w:r>
          </w:p>
        </w:tc>
      </w:tr>
      <w:tr>
        <w:tc>
          <w:tcPr>
            <w:tcW w:type="dxa" w:w="2160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Model comparison</w:t>
            </w:r>
          </w:p>
        </w:tc>
        <w:tc>
          <w:tcPr>
            <w:tcW w:type="dxa" w:w="2160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Poisson vs NegBin</w:t>
            </w:r>
          </w:p>
        </w:tc>
        <w:tc>
          <w:tcPr>
            <w:tcW w:type="dxa" w:w="2160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NegBin preferred (ΔAIC=81.6)</w:t>
            </w:r>
          </w:p>
        </w:tc>
        <w:tc>
          <w:tcPr>
            <w:tcW w:type="dxa" w:w="2160"/>
            <w:shd w:fill="F0F4FF"/>
            <w:vAlign w:val="center"/>
            <w:tcBorders>
              <w:top w:val="single" w:sz="4" w:color="000000"/>
              <w:bottom w:val="single" w:sz="12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NegBin preferred (ΔAIC=33.7)</w:t>
            </w:r>
          </w:p>
        </w:tc>
      </w:tr>
    </w:tbl>
    <w:p/>
    <w:p>
      <w:r>
        <w:rPr>
          <w:rFonts w:ascii="Calibri" w:hAnsi="Calibri"/>
          <w:color w:val="555555"/>
          <w:sz w:val="16"/>
        </w:rPr>
        <w:t>Abbreviations: SVI = Social Vulnerability Index; IRR = Incidence Rate Ratio; RUCC = Rural-Urban Continuum Code; NegBin = Negative Binomial; AIC = Akaike Information Criterion.</w:t>
      </w:r>
    </w:p>
    <w:p>
      <w:r>
        <w:rPr>
          <w:rFonts w:ascii="Calibri" w:hAnsi="Calibri"/>
          <w:color w:val="555555"/>
          <w:sz w:val="16"/>
        </w:rPr>
        <w:t>Conclusion: The metro–rural geographic disparity is robust across all sensitivity analyses.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