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 Regression Results (Sensitivity Analysis)</w:t>
      </w:r>
    </w:p>
    <w:p>
      <w:r>
        <w:t>==========================================================================================</w:t>
      </w:r>
    </w:p>
    <w:p>
      <w:r>
        <w:t>SUPPLEMENTARY ANALYSIS: AREA DEPRIVATION INDEX (ADI) AS ALTERNATIVE PREDICTOR</w:t>
      </w:r>
    </w:p>
    <w:p>
      <w:r>
        <w:t>==========================================================================================</w:t>
      </w:r>
    </w:p>
    <w:p/>
    <w:p>
      <w:r>
        <w:t>Rationale:</w:t>
      </w:r>
    </w:p>
    <w:p>
      <w:r>
        <w:t xml:space="preserve">  ADI was developed for healthcare-access research (Singh 2003; Kind &amp; Buckingham,</w:t>
      </w:r>
    </w:p>
    <w:p>
      <w:r>
        <w:t xml:space="preserve">  NEJM 2018). Unlike SVI (disaster management), ADI measures neighborhood</w:t>
      </w:r>
    </w:p>
    <w:p>
      <w:r>
        <w:t xml:space="preserve">  socioeconomic disadvantage. Prior work found ADI-associated breast imaging disparities.</w:t>
      </w:r>
    </w:p>
    <w:p/>
    <w:p>
      <w:r>
        <w:t>Construction:</w:t>
      </w:r>
    </w:p>
    <w:p>
      <w:r>
        <w:t xml:space="preserve">  County-level ADI via PCA of 6 ACS-derived indicators (58.7% variance explained):</w:t>
      </w:r>
    </w:p>
    <w:p>
      <w:r>
        <w:t xml:space="preserve">    - % below 150% poverty | % unemployed | % no HS diploma</w:t>
      </w:r>
    </w:p>
    <w:p>
      <w:r>
        <w:t xml:space="preserve">    - % housing cost-burdened | Median household income (inv.) | % child poverty</w:t>
      </w:r>
    </w:p>
    <w:p>
      <w:r>
        <w:t xml:space="preserve">  Sources: CDC SVI 2022 (indicator-level) + County Health Rankings 2024</w:t>
      </w:r>
    </w:p>
    <w:p>
      <w:r>
        <w:t xml:space="preserve">  National percentile rank: 0-100 (higher = more deprived)</w:t>
      </w:r>
    </w:p>
    <w:p/>
    <w:p>
      <w:r>
        <w:t xml:space="preserve">  Sample: n = 3,029 counties (rate-eligible with complete ADI data)</w:t>
      </w:r>
    </w:p>
    <w:p/>
    <w:p>
      <w:r>
        <w:t>------------------------------------------------------------------------------------------</w:t>
      </w:r>
    </w:p>
    <w:p>
      <w:r>
        <w:t>RESULTS: SVI vs ADI COMPARISON</w:t>
      </w:r>
    </w:p>
    <w:p>
      <w:r>
        <w:t>------------------------------------------------------------------------------------------</w:t>
      </w:r>
    </w:p>
    <w:p/>
    <w:p>
      <w:r>
        <w:t xml:space="preserve">  Predictor        Modality IRR      95% CI             p-value    Significant?</w:t>
      </w:r>
    </w:p>
    <w:p>
      <w:r>
        <w:t xml:space="preserve">  ----------------------------------------------------------------------</w:t>
      </w:r>
    </w:p>
    <w:p>
      <w:r>
        <w:t xml:space="preserve">  SVI per 10-pctl  CMR      0.992    0.952-1.033        0.681      No</w:t>
      </w:r>
    </w:p>
    <w:p>
      <w:r>
        <w:t xml:space="preserve">  SVI per 10-pctl  CCT      1.020    0.989-1.053        0.213      No</w:t>
      </w:r>
    </w:p>
    <w:p>
      <w:r>
        <w:t xml:space="preserve">  ADI per 10-pctl  CMR      0.9373   0.9000-0.9762    0.0018     YES **</w:t>
      </w:r>
    </w:p>
    <w:p>
      <w:r>
        <w:t xml:space="preserve">  ADI per 10-pctl  CCT      0.9789   0.9490-1.0097    0.1767     No</w:t>
      </w:r>
    </w:p>
    <w:p/>
    <w:p>
      <w:r>
        <w:t>------------------------------------------------------------------------------------------</w:t>
      </w:r>
    </w:p>
    <w:p>
      <w:r>
        <w:t>Spearman (rate vs ADI): CMR rho=-0.1715 p &lt; 0.0001 | CCT rho=-0.1632 p &lt; 0.0001</w:t>
      </w:r>
    </w:p>
    <w:p>
      <w:r>
        <w:t>------------------------------------------------------------------------------------------</w:t>
      </w:r>
    </w:p>
    <w:p/>
    <w:p>
      <w:r>
        <w:t>INTERPRETATION:</w:t>
      </w:r>
    </w:p>
    <w:p>
      <w:r>
        <w:t xml:space="preserve">  - CMR: ADI SIGNIFICANT (p = 0.0018). Per 10-pctl increase in deprivation,</w:t>
      </w:r>
    </w:p>
    <w:p>
      <w:r>
        <w:t xml:space="preserve">    CMR facility rate decreases by 6.3% (IRR = 0.9373).</w:t>
      </w:r>
    </w:p>
    <w:p>
      <w:r>
        <w:t xml:space="preserve">    ADI detects a socioeconomic gradient that SVI (p = 0.68) missed.</w:t>
      </w:r>
    </w:p>
    <w:p/>
    <w:p>
      <w:r>
        <w:t xml:space="preserve">  - CCT: ADI NOT significant (p = 0.1767), consistent with SVI null.</w:t>
      </w:r>
    </w:p>
    <w:p/>
    <w:p>
      <w:r>
        <w:t xml:space="preserve">  - CONTRIBUTION: SVI misses an access gap that ADI catches for CMR.</w:t>
      </w:r>
    </w:p>
    <w:p>
      <w:r>
        <w:t xml:space="preserve">    CMR (more specialized, fewer sites) shows socioeconomic sensitivity;</w:t>
      </w:r>
    </w:p>
    <w:p>
      <w:r>
        <w:t xml:space="preserve">    CCT (more widespread) does not. This supports using ADI in imaging access research.</w:t>
      </w:r>
    </w:p>
    <w:p/>
    <w:p>
      <w:r>
        <w:t>==========================================================================================</w:t>
      </w:r>
    </w:p>
    <w:p>
      <w:r>
        <w:t>DR. NAEEM CLARIFICATIONS:</w:t>
      </w:r>
    </w:p>
    <w:p>
      <w:r>
        <w:t>==========================================================================================</w:t>
      </w:r>
    </w:p>
    <w:p/>
    <w:p>
      <w:r>
        <w:t xml:space="preserve">  1. n = 3,038 in SVI regressions vs 3,144 total counties:</w:t>
      </w:r>
    </w:p>
    <w:p>
      <w:r>
        <w:t xml:space="preserve">     YES - the 106 dropped counties are exactly those with &lt;1,000 adults aged &gt;=45</w:t>
      </w:r>
    </w:p>
    <w:p>
      <w:r>
        <w:t xml:space="preserve">     (rate_excluded = 1). These are very low-population counties where per-capita</w:t>
      </w:r>
    </w:p>
    <w:p>
      <w:r>
        <w:t xml:space="preserve">     rates would be unstable/meaningless.</w:t>
      </w:r>
    </w:p>
    <w:p/>
    <w:p>
      <w:r>
        <w:t xml:space="preserve">  2. Table 1 medians are all 0.00:</w:t>
      </w:r>
    </w:p>
    <w:p>
      <w:r>
        <w:t xml:space="preserve">     YES - this is the zero-inflation. 90.5% of counties have ZERO CMR facilities</w:t>
      </w:r>
    </w:p>
    <w:p>
      <w:r>
        <w:t xml:space="preserve">     and 82.4% have ZERO CCT facilities. The median (and 75th percentile for CMR)</w:t>
      </w:r>
    </w:p>
    <w:p>
      <w:r>
        <w:t xml:space="preserve">     are 0 because the vast majority of counties lack any facility. This is itself</w:t>
      </w:r>
    </w:p>
    <w:p>
      <w:r>
        <w:t xml:space="preserve">     the key finding - cardiac imaging is extremely concentrated.</w:t>
      </w:r>
    </w:p>
    <w:p>
      <w:r>
        <w:t xml:space="preserve">     Suggested footnote: 'Median of 0.00 reflects that &gt;80% of US counties lack</w:t>
      </w:r>
    </w:p>
    <w:p>
      <w:r>
        <w:t xml:space="preserve">     any ACR-accredited cardiac imaging facility (zero-inflated distribution).'</w:t>
      </w:r>
    </w:p>
    <w:p/>
    <w:p>
      <w:r>
        <w:t>==========================================================================================</w:t>
      </w:r>
    </w:p>
    <w:p>
      <w:r>
        <w:t>References:</w:t>
      </w:r>
    </w:p>
    <w:p>
      <w:r>
        <w:t xml:space="preserve">  Singh GK. Am J Public Health. 2003;93(7):1137-1143.</w:t>
      </w:r>
    </w:p>
    <w:p>
      <w:r>
        <w:t xml:space="preserve">  Kind AJH, Buckingham W. N Engl J Med. 2018;378:2456-2458.</w:t>
      </w:r>
    </w:p>
    <w:p>
      <w:r>
        <w:t>==========================================================================================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