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SVI Regression Results (Primary Analysis)</w:t>
      </w:r>
    </w:p>
    <w:p>
      <w:r>
        <w:t>==========================================================================================</w:t>
      </w:r>
    </w:p>
    <w:p>
      <w:r>
        <w:t>REGRESSION RESULTS</w:t>
      </w:r>
    </w:p>
    <w:p>
      <w:r>
        <w:t>ACR Cardiac Imaging Geographic Disparities — Negative Binomial Models</w:t>
      </w:r>
    </w:p>
    <w:p>
      <w:r>
        <w:t>==========================================================================================</w:t>
      </w:r>
    </w:p>
    <w:p/>
    <w:p>
      <w:r>
        <w:t>Model specification:</w:t>
      </w:r>
    </w:p>
    <w:p>
      <w:r>
        <w:t xml:space="preserve">  Outcome: County-level count of ACR-accredited facilities</w:t>
      </w:r>
    </w:p>
    <w:p>
      <w:r>
        <w:t xml:space="preserve">  Offset: ln(adult population aged ≥45 years)</w:t>
      </w:r>
    </w:p>
    <w:p>
      <w:r>
        <w:t xml:space="preserve">  Primary predictor: SVI percentile (scaled per 10-percentile increment)</w:t>
      </w:r>
    </w:p>
    <w:p>
      <w:r>
        <w:t xml:space="preserve">  Family: Negative Binomial (NB2 parameterization)</w:t>
      </w:r>
    </w:p>
    <w:p>
      <w:r>
        <w:t xml:space="preserve">  Justification: Overdispersion in count data (variance &gt;&gt; mean)</w:t>
      </w:r>
    </w:p>
    <w:p/>
    <w:p/>
    <w:p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t xml:space="preserve">  MODALITY: CMR (Cardiac Magnetic Resonance)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Model: CMR — Primary: SVI continuous (per 10-percentile)</w:t>
      </w:r>
    </w:p>
    <w:p>
      <w: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t xml:space="preserve">  Variable                         IRR                 95% CI          p</w:t>
      </w:r>
    </w:p>
    <w:p>
      <w: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Intercept                     0.0000 (0.0000 – 0.0000)    &lt;0.0001</w:t>
      </w:r>
    </w:p>
    <w:p>
      <w:r>
        <w:t xml:space="preserve">  svi_per10                     0.9915 (0.9521 – 1.0325)     0.6808</w:t>
      </w:r>
    </w:p>
    <w:p/>
    <w:p>
      <w:r>
        <w:t xml:space="preserve">  N = 3038 | AIC = 1851.0 | Deviance = 783.7</w:t>
      </w:r>
    </w:p>
    <w:p>
      <w:r>
        <w:t xml:space="preserve">  Pearson χ²/df = 0.384 (dispersion)</w:t>
      </w:r>
    </w:p>
    <w:p/>
    <w:p>
      <w:r>
        <w:t xml:space="preserve">  Model comparison: Poisson AIC = 1932.6 | NegBin AIC = 1851.0</w:t>
      </w:r>
    </w:p>
    <w:p>
      <w:r>
        <w:t xml:space="preserve">  → Negative Binomial preferred (ΔAIC = 81.6)</w:t>
      </w:r>
    </w:p>
    <w:p/>
    <w:p>
      <w: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Model: CMR — Sensitivity: SVI Quartile Dummies (ref = Q1)</w:t>
      </w:r>
    </w:p>
    <w:p>
      <w: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t xml:space="preserve">  Variable                         IRR                 95% CI          p</w:t>
      </w:r>
    </w:p>
    <w:p>
      <w: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Intercept                     0.0000 (0.0000 – 0.0000)    &lt;0.0001</w:t>
      </w:r>
    </w:p>
    <w:p>
      <w:r>
        <w:t xml:space="preserve">  svi_q2                        0.9490 (0.6822 – 1.3202)     0.7562</w:t>
      </w:r>
    </w:p>
    <w:p>
      <w:r>
        <w:t xml:space="preserve">  svi_q3                        1.0494 (0.7636 – 1.4421)     0.7664</w:t>
      </w:r>
    </w:p>
    <w:p>
      <w:r>
        <w:t xml:space="preserve">  svi_q4                        0.9277 (0.6673 – 1.2897)     0.6551</w:t>
      </w:r>
    </w:p>
    <w:p/>
    <w:p>
      <w:r>
        <w:t xml:space="preserve">  N = 3038 | AIC = 1854.3 | Deviance = 783.0</w:t>
      </w:r>
    </w:p>
    <w:p>
      <w:r>
        <w:t xml:space="preserve">  Pearson χ²/df = 0.387 (dispersion)</w:t>
      </w:r>
    </w:p>
    <w:p/>
    <w:p>
      <w: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Model: CMR — Stratified: Metropolitan counties only</w:t>
      </w:r>
    </w:p>
    <w:p>
      <w: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t xml:space="preserve">  Variable                         IRR                 95% CI          p</w:t>
      </w:r>
    </w:p>
    <w:p>
      <w: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Intercept                     0.0000 (0.0000 – 0.0000)    &lt;0.0001</w:t>
      </w:r>
    </w:p>
    <w:p>
      <w:r>
        <w:t xml:space="preserve">  svi_per10                     1.0050 (0.9621 – 1.0498)     0.8225</w:t>
      </w:r>
    </w:p>
    <w:p/>
    <w:p>
      <w:r>
        <w:t xml:space="preserve">  N = 1180 | AIC = 1618.2 | Deviance = 586.9</w:t>
      </w:r>
    </w:p>
    <w:p>
      <w:r>
        <w:t xml:space="preserve">  Pearson χ²/df = 0.627 (dispersion)</w:t>
      </w:r>
    </w:p>
    <w:p/>
    <w:p>
      <w: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Model: CMR — Stratified: Nonmetropolitan counties only</w:t>
      </w:r>
    </w:p>
    <w:p>
      <w: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t xml:space="preserve">  Variable                         IRR                 95% CI          p</w:t>
      </w:r>
    </w:p>
    <w:p>
      <w: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Intercept                     0.0000 (0.0000 – 0.0000)    &lt;0.0001</w:t>
      </w:r>
    </w:p>
    <w:p>
      <w:r>
        <w:t xml:space="preserve">  svi_per10                     0.8144 (0.6557 – 1.0116)     0.0635</w:t>
      </w:r>
    </w:p>
    <w:p/>
    <w:p>
      <w:r>
        <w:t xml:space="preserve">  N = 1858 | AIC = 124.3 | Deviance = 84.2</w:t>
      </w:r>
    </w:p>
    <w:p>
      <w:r>
        <w:t xml:space="preserve">  Pearson χ²/df = 0.324 (dispersion)</w:t>
      </w:r>
    </w:p>
    <w:p/>
    <w:p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t xml:space="preserve">  MODALITY: CCT (Cardiac Computed Tomography)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Model: CCT — Primary: SVI continuous (per 10-percentile)</w:t>
      </w:r>
    </w:p>
    <w:p>
      <w: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t xml:space="preserve">  Variable                         IRR                 95% CI          p</w:t>
      </w:r>
    </w:p>
    <w:p>
      <w: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Intercept                     0.0000 (0.0000 – 0.0000)    &lt;0.0001</w:t>
      </w:r>
    </w:p>
    <w:p>
      <w:r>
        <w:t xml:space="preserve">  svi_per10                     1.0203 (0.9885 – 1.0530)     0.2130</w:t>
      </w:r>
    </w:p>
    <w:p/>
    <w:p>
      <w:r>
        <w:t xml:space="preserve">  N = 3038 | AIC = 3071.3 | Deviance = 1082.8</w:t>
      </w:r>
    </w:p>
    <w:p>
      <w:r>
        <w:t xml:space="preserve">  Pearson χ²/df = 0.496 (dispersion)</w:t>
      </w:r>
    </w:p>
    <w:p/>
    <w:p>
      <w:r>
        <w:t xml:space="preserve">  Model comparison: Poisson AIC = 3105.0 | NegBin AIC = 3071.3</w:t>
      </w:r>
    </w:p>
    <w:p>
      <w:r>
        <w:t xml:space="preserve">  → Negative Binomial preferred (ΔAIC = 33.7)</w:t>
      </w:r>
    </w:p>
    <w:p/>
    <w:p>
      <w: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Model: CCT — Sensitivity: SVI Quartile Dummies (ref = Q1)</w:t>
      </w:r>
    </w:p>
    <w:p>
      <w: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t xml:space="preserve">  Variable                         IRR                 95% CI          p</w:t>
      </w:r>
    </w:p>
    <w:p>
      <w: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Intercept                     0.0000 (0.0000 – 0.0000)    &lt;0.0001</w:t>
      </w:r>
    </w:p>
    <w:p>
      <w:r>
        <w:t xml:space="preserve">  svi_q2                        1.2035 (0.9259 – 1.5644)     0.1662</w:t>
      </w:r>
    </w:p>
    <w:p>
      <w:r>
        <w:t xml:space="preserve">  svi_q3                        1.3096 (1.0147 – 1.6901)     0.0382</w:t>
      </w:r>
    </w:p>
    <w:p>
      <w:r>
        <w:t xml:space="preserve">  svi_q4                        1.1739 (0.9020 – 1.5278)     0.2329</w:t>
      </w:r>
    </w:p>
    <w:p/>
    <w:p>
      <w:r>
        <w:t xml:space="preserve">  N = 3038 | AIC = 3072.1 | Deviance = 1079.7</w:t>
      </w:r>
    </w:p>
    <w:p>
      <w:r>
        <w:t xml:space="preserve">  Pearson χ²/df = 0.497 (dispersion)</w:t>
      </w:r>
    </w:p>
    <w:p/>
    <w:p>
      <w: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Model: CCT — Stratified: Metropolitan counties only</w:t>
      </w:r>
    </w:p>
    <w:p>
      <w: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t xml:space="preserve">  Variable                         IRR                 95% CI          p</w:t>
      </w:r>
    </w:p>
    <w:p>
      <w: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Intercept                     0.0000 (0.0000 – 0.0000)    &lt;0.0001</w:t>
      </w:r>
    </w:p>
    <w:p>
      <w:r>
        <w:t xml:space="preserve">  svi_per10                     1.0364 (0.9994 – 1.0748)     0.0540</w:t>
      </w:r>
    </w:p>
    <w:p/>
    <w:p>
      <w:r>
        <w:t xml:space="preserve">  N = 1180 | AIC = 2311.0 | Deviance = 621.0</w:t>
      </w:r>
    </w:p>
    <w:p>
      <w:r>
        <w:t xml:space="preserve">  Pearson χ²/df = 0.531 (dispersion)</w:t>
      </w:r>
    </w:p>
    <w:p/>
    <w:p>
      <w: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Model: CCT — Stratified: Nonmetropolitan counties only</w:t>
      </w:r>
    </w:p>
    <w:p>
      <w: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t xml:space="preserve">  Variable                         IRR                 95% CI          p</w:t>
      </w:r>
    </w:p>
    <w:p>
      <w: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Intercept                     0.0000 (0.0000 – 0.0000)    &lt;0.0001</w:t>
      </w:r>
    </w:p>
    <w:p>
      <w:r>
        <w:t xml:space="preserve">  svi_per10                     0.9818 (0.9128 – 1.0559)     0.6203</w:t>
      </w:r>
    </w:p>
    <w:p/>
    <w:p>
      <w:r>
        <w:t xml:space="preserve">  N = 1858 | AIC = 723.0 | Deviance = 420.6</w:t>
      </w:r>
    </w:p>
    <w:p>
      <w:r>
        <w:t xml:space="preserve">  Pearson χ²/df = 0.664 (dispersion)</w:t>
      </w:r>
    </w:p>
    <w:p/>
    <w:p/>
    <w:p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t>INTERPRETATION SUMMARY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r>
        <w:t xml:space="preserve">  • SVI percentile is NOT significantly associated with CMR or CCT facility count</w:t>
      </w:r>
    </w:p>
    <w:p>
      <w:r>
        <w:t xml:space="preserve">    after adjusting for population size (all primary model p-values &gt; 0.05).</w:t>
      </w:r>
    </w:p>
    <w:p>
      <w:r>
        <w:t xml:space="preserve">  </w:t>
      </w:r>
    </w:p>
    <w:p>
      <w:r>
        <w:t xml:space="preserve">  • The dominant disparity is geographic: metropolitan vs. nonmetropolitan.</w:t>
      </w:r>
    </w:p>
    <w:p>
      <w:r>
        <w:t xml:space="preserve">    - Metro counties (37.7% of counties) contain 98.1% of CMR and 92.4% of CCT sites.</w:t>
      </w:r>
    </w:p>
    <w:p>
      <w:r>
        <w:t xml:space="preserve">    - Nonmetropolitan counties have near-zero CMR capacity.</w:t>
      </w:r>
    </w:p>
    <w:p>
      <w:r>
        <w:t xml:space="preserve">  </w:t>
      </w:r>
    </w:p>
    <w:p>
      <w:r>
        <w:t xml:space="preserve">  • In the stratified nonmetropolitan analysis, CMR shows a borderline association</w:t>
      </w:r>
    </w:p>
    <w:p>
      <w:r>
        <w:t xml:space="preserve">    (p ≈ 0.06), suggesting higher SVI may further reduce already-scarce rural CMR access.</w:t>
      </w:r>
    </w:p>
    <w:p>
      <w:r>
        <w:t xml:space="preserve">  </w:t>
      </w:r>
    </w:p>
    <w:p>
      <w:r>
        <w:t xml:space="preserve">  • Negative Binomial is strongly preferred over Poisson (large ΔAIC), confirming</w:t>
      </w:r>
    </w:p>
    <w:p>
      <w:r>
        <w:t xml:space="preserve">    substantial overdispersion in the facility count data.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