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1: Descriptive Statistics (Formatted)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t>Table 1. ACR-Accredited Cardiac Imaging Capacity by Social Vulnerability Index Quartile and Rurality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/>
    <w:p>
      <w:r>
        <w:t xml:space="preserve">                   Stratum  Counties Pop ≥45 (M)  CMR Sites CMR Counties (%) CMR Median (IQR) CMR Mean  CCT Sites CCT Counties (%) CCT Median (IQR) CCT Mean</w:t>
      </w:r>
    </w:p>
    <w:p>
      <w:r>
        <w:t xml:space="preserve">           All US Counties      3144      141.60        687       289 (9.2%) 0.00 (0.00–0.00)    0.150       1481      532 (16.9%) 0.00 (0.00–0.00)    0.501</w:t>
      </w:r>
    </w:p>
    <w:p>
      <w:r>
        <w:t xml:space="preserve">     Q1 — Least Vulnerable       786       21.47         98        61 (7.8%) 0.00 (0.00–0.00)    0.157        177      100 (12.7%) 0.00 (0.00–0.00)    0.341</w:t>
      </w:r>
    </w:p>
    <w:p>
      <w:r>
        <w:t xml:space="preserve">                        Q2       786       33.62        159        70 (8.9%) 0.00 (0.00–0.00)    0.158        338      148 (18.8%) 0.00 (0.00–0.00)    0.571</w:t>
      </w:r>
    </w:p>
    <w:p>
      <w:r>
        <w:t xml:space="preserve">                        Q3       786       40.39        216       88 (11.2%) 0.00 (0.00–0.00)    0.152        450      162 (20.6%) 0.00 (0.00–0.00)    0.566</w:t>
      </w:r>
    </w:p>
    <w:p>
      <w:r>
        <w:t xml:space="preserve">      Q4 — Most Vulnerable       786       46.12        214        70 (8.9%) 0.00 (0.00–0.00)    0.131        516      122 (15.5%) 0.00 (0.00–0.00)    0.517</w:t>
      </w:r>
    </w:p>
    <w:p>
      <w:r>
        <w:t xml:space="preserve">   Metropolitan (RUCC 1–3)      1186      120.34        674      276 (23.3%) 0.00 (0.00–0.00)    0.348       1369      427 (36.0%) 0.00 (0.00–1.21)    0.732</w:t>
      </w:r>
    </w:p>
    <w:p>
      <w:r>
        <w:t>Nonmetropolitan (RUCC 4–9)      1958       21.26         13        13 (0.7%) 0.00 (0.00–0.00)    0.024        112       105 (5.4%) 0.00 (0.00–0.00)    0.354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>Spearman Rank Correlation (facility rate vs. SVI percentile, continuous, rate-eligible counties only):</w:t>
      </w:r>
    </w:p>
    <w:p/>
    <w:p>
      <w:r>
        <w:t xml:space="preserve">    Cardiac MRI (CMR):  ρ = 0.0079,  p = 0.6646  (n = 3038)</w:t>
      </w:r>
    </w:p>
    <w:p>
      <w:r>
        <w:t xml:space="preserve">    Cardiac CT  (CCT):  ρ = 0.0201,  p = 0.2681  (n = 3038)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>Abbreviations: SVI = Social Vulnerability Index; RUCC = Rural-Urban Continuum Code;</w:t>
      </w:r>
    </w:p>
    <w:p>
      <w:r>
        <w:t>CMR = Cardiac Magnetic Resonance; CCT = Cardiac Computed Tomography; IQR = Interquartile Range;</w:t>
      </w:r>
    </w:p>
    <w:p>
      <w:r>
        <w:t>M = millions; Pop = population.</w:t>
      </w:r>
    </w:p>
    <w:p/>
    <w:p>
      <w:r>
        <w:t>Notes:</w:t>
      </w:r>
    </w:p>
    <w:p>
      <w:r>
        <w:t>• SVI from CDC/ATSDR 2022 (overall percentile rank, RPL_THEMES). Q1 = least vulnerable.</w:t>
      </w:r>
    </w:p>
    <w:p>
      <w:r>
        <w:t>• RUCC from USDA Economic Research Service, 2023 update. Metropolitan = codes 1–3.</w:t>
      </w:r>
    </w:p>
    <w:p>
      <w:r>
        <w:t>• Population denominators: American Community Survey 5-year estimates 2019–2023.</w:t>
      </w:r>
    </w:p>
    <w:p>
      <w:r>
        <w:t>• Rate = ACR-accredited facilities per 100,000 adults aged ≥45 years.</w:t>
      </w:r>
    </w:p>
    <w:p>
      <w:r>
        <w:t>• Counties with &lt; 1,000 adults aged ≥45 excluded from rate calculations (n = 106).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