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4. External validation of the deprivation finding using a published county-level index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Exposure</w:t>
            </w:r>
          </w:p>
        </w:tc>
        <w:tc>
          <w:tcPr>
            <w:tcW w:type="dxa" w:w="1728"/>
          </w:tcPr>
          <w:p>
            <w:r>
              <w:rPr>
                <w:b/>
              </w:rPr>
              <w:t>EDI IRR (95% CI)</w:t>
            </w:r>
          </w:p>
        </w:tc>
        <w:tc>
          <w:tcPr>
            <w:tcW w:type="dxa" w:w="1728"/>
          </w:tcPr>
          <w:p>
            <w:r>
              <w:rPr>
                <w:b/>
              </w:rPr>
              <w:t>P value</w:t>
            </w:r>
          </w:p>
        </w:tc>
        <w:tc>
          <w:tcPr>
            <w:tcW w:type="dxa" w:w="1728"/>
          </w:tcPr>
          <w:p>
            <w:r>
              <w:rPr>
                <w:b/>
              </w:rPr>
              <w:t>SDI IRR (95% CI)</w:t>
            </w:r>
          </w:p>
        </w:tc>
        <w:tc>
          <w:tcPr>
            <w:tcW w:type="dxa" w:w="1728"/>
          </w:tcPr>
          <w:p>
            <w:r>
              <w:rPr>
                <w:b/>
              </w:rPr>
              <w:t>P value</w:t>
            </w:r>
          </w:p>
        </w:tc>
      </w:tr>
      <w:tr>
        <w:tc>
          <w:tcPr>
            <w:tcW w:type="dxa" w:w="1728"/>
          </w:tcPr>
          <w:p>
            <w:r>
              <w:t>Cardiac MR</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0.94 (0.90-0.98)</w:t>
            </w:r>
          </w:p>
        </w:tc>
        <w:tc>
          <w:tcPr>
            <w:tcW w:type="dxa" w:w="1728"/>
          </w:tcPr>
          <w:p>
            <w:r>
              <w:t>0.0018</w:t>
            </w:r>
          </w:p>
        </w:tc>
        <w:tc>
          <w:tcPr>
            <w:tcW w:type="dxa" w:w="1728"/>
          </w:tcPr>
          <w:p>
            <w:r>
              <w:t>1.01 (0.97-1.05)</w:t>
            </w:r>
          </w:p>
        </w:tc>
        <w:tc>
          <w:tcPr>
            <w:tcW w:type="dxa" w:w="1728"/>
          </w:tcPr>
          <w:p>
            <w:r>
              <w:t>0.7458</w:t>
            </w:r>
          </w:p>
        </w:tc>
      </w:tr>
      <w:tr>
        <w:tc>
          <w:tcPr>
            <w:tcW w:type="dxa" w:w="1728"/>
          </w:tcPr>
          <w:p>
            <w:r>
              <w:t xml:space="preserve">    Index, adjusted for metropolitan status</w:t>
            </w:r>
          </w:p>
        </w:tc>
        <w:tc>
          <w:tcPr>
            <w:tcW w:type="dxa" w:w="1728"/>
          </w:tcPr>
          <w:p>
            <w:r>
              <w:t>0.98 (0.94-1.03)</w:t>
            </w:r>
          </w:p>
        </w:tc>
        <w:tc>
          <w:tcPr>
            <w:tcW w:type="dxa" w:w="1728"/>
          </w:tcPr>
          <w:p>
            <w:r>
              <w:t>0.4343</w:t>
            </w:r>
          </w:p>
        </w:tc>
        <w:tc>
          <w:tcPr>
            <w:tcW w:type="dxa" w:w="1728"/>
          </w:tcPr>
          <w:p>
            <w:r>
              <w:t>1.03 (0.99-1.07)</w:t>
            </w:r>
          </w:p>
        </w:tc>
        <w:tc>
          <w:tcPr>
            <w:tcW w:type="dxa" w:w="1728"/>
          </w:tcPr>
          <w:p>
            <w:r>
              <w:t>0.2149</w:t>
            </w:r>
          </w:p>
        </w:tc>
      </w:tr>
      <w:tr>
        <w:tc>
          <w:tcPr>
            <w:tcW w:type="dxa" w:w="1728"/>
          </w:tcPr>
          <w:p>
            <w:r>
              <w:t xml:space="preserve">    Metropolitan status</w:t>
            </w:r>
          </w:p>
        </w:tc>
        <w:tc>
          <w:tcPr>
            <w:tcW w:type="dxa" w:w="1728"/>
          </w:tcPr>
          <w:p>
            <w:r>
              <w:t>8.23 (4.65-14.56)</w:t>
            </w:r>
          </w:p>
        </w:tc>
        <w:tc>
          <w:tcPr>
            <w:tcW w:type="dxa" w:w="1728"/>
          </w:tcPr>
          <w:p>
            <w:r>
              <w:t>&lt;0.0001</w:t>
            </w:r>
          </w:p>
        </w:tc>
        <w:tc>
          <w:tcPr>
            <w:tcW w:type="dxa" w:w="1728"/>
          </w:tcPr>
          <w:p>
            <w:r>
              <w:t>8.66 (4.93-15.24)</w:t>
            </w:r>
          </w:p>
        </w:tc>
        <w:tc>
          <w:tcPr>
            <w:tcW w:type="dxa" w:w="1728"/>
          </w:tcPr>
          <w:p>
            <w:r>
              <w:t>&lt;0.0001</w:t>
            </w:r>
          </w:p>
        </w:tc>
      </w:tr>
      <w:tr>
        <w:tc>
          <w:tcPr>
            <w:tcW w:type="dxa" w:w="1728"/>
          </w:tcPr>
          <w:p>
            <w:r>
              <w:t>Cardiac CT</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0.98 (0.95-1.01)</w:t>
            </w:r>
          </w:p>
        </w:tc>
        <w:tc>
          <w:tcPr>
            <w:tcW w:type="dxa" w:w="1728"/>
          </w:tcPr>
          <w:p>
            <w:r>
              <w:t>0.1767</w:t>
            </w:r>
          </w:p>
        </w:tc>
        <w:tc>
          <w:tcPr>
            <w:tcW w:type="dxa" w:w="1728"/>
          </w:tcPr>
          <w:p>
            <w:r>
              <w:t>1.02 (0.99-1.05)</w:t>
            </w:r>
          </w:p>
        </w:tc>
        <w:tc>
          <w:tcPr>
            <w:tcW w:type="dxa" w:w="1728"/>
          </w:tcPr>
          <w:p>
            <w:r>
              <w:t>0.2901</w:t>
            </w:r>
          </w:p>
        </w:tc>
      </w:tr>
      <w:tr>
        <w:tc>
          <w:tcPr>
            <w:tcW w:type="dxa" w:w="1728"/>
          </w:tcPr>
          <w:p>
            <w:r>
              <w:t xml:space="preserve">    Index, adjusted for metropolitan status</w:t>
            </w:r>
          </w:p>
        </w:tc>
        <w:tc>
          <w:tcPr>
            <w:tcW w:type="dxa" w:w="1728"/>
          </w:tcPr>
          <w:p>
            <w:r>
              <w:t>1.01 (0.97-1.04)</w:t>
            </w:r>
          </w:p>
        </w:tc>
        <w:tc>
          <w:tcPr>
            <w:tcW w:type="dxa" w:w="1728"/>
          </w:tcPr>
          <w:p>
            <w:r>
              <w:t>0.6633</w:t>
            </w:r>
          </w:p>
        </w:tc>
        <w:tc>
          <w:tcPr>
            <w:tcW w:type="dxa" w:w="1728"/>
          </w:tcPr>
          <w:p>
            <w:r>
              <w:t>1.03 (1.00-1.06)</w:t>
            </w:r>
          </w:p>
        </w:tc>
        <w:tc>
          <w:tcPr>
            <w:tcW w:type="dxa" w:w="1728"/>
          </w:tcPr>
          <w:p>
            <w:r>
              <w:t>0.0634</w:t>
            </w:r>
          </w:p>
        </w:tc>
      </w:tr>
      <w:tr>
        <w:tc>
          <w:tcPr>
            <w:tcW w:type="dxa" w:w="1728"/>
          </w:tcPr>
          <w:p>
            <w:r>
              <w:t xml:space="preserve">    Metropolitan status</w:t>
            </w:r>
          </w:p>
        </w:tc>
        <w:tc>
          <w:tcPr>
            <w:tcW w:type="dxa" w:w="1728"/>
          </w:tcPr>
          <w:p>
            <w:r>
              <w:t>1.96 (1.56-2.47)</w:t>
            </w:r>
          </w:p>
        </w:tc>
        <w:tc>
          <w:tcPr>
            <w:tcW w:type="dxa" w:w="1728"/>
          </w:tcPr>
          <w:p>
            <w:r>
              <w:t>&lt;0.0001</w:t>
            </w:r>
          </w:p>
        </w:tc>
        <w:tc>
          <w:tcPr>
            <w:tcW w:type="dxa" w:w="1728"/>
          </w:tcPr>
          <w:p>
            <w:r>
              <w:t>1.98 (1.59-2.48)</w:t>
            </w:r>
          </w:p>
        </w:tc>
        <w:tc>
          <w:tcPr>
            <w:tcW w:type="dxa" w:w="1728"/>
          </w:tcPr>
          <w:p>
            <w:r>
              <w:t>&lt;0.0001</w:t>
            </w:r>
          </w:p>
        </w:tc>
      </w:tr>
    </w:tbl>
    <w:p>
      <w:r>
        <w:t>EDI = economic deprivation index; IRR = incidence rate ratio; SDI = Social Deprivation Index (Robert Graham Center, 2015-2019). Negative binomial regression with a log-population offset (adults aged 45 and older); index IRRs are per 10-percentile increase. Analytic sample: 3,029 counties (EDI) and 3,027 (SDI); the SDI matched 3,133 of 3,144 counties. The two indices agree closely at the county level (Spearman rho = 0.88) but differ in how strongly they encode rurality: Spearman rho with the ordinal Rural-Urban Continuum Code was 0.25 for the EDI and 0.07 for the SDI, with mean nonmetropolitan minus metropolitan gaps of 16.2 and 7.1 percentile points, respectively. Metropolitan status rows are the metropolitan-status coefficients from the corresponding adjusted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