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4. Social Vulnerability Index versus Economic Deprivation Index, unadjusted and adjusted for rurality</w:t>
      </w:r>
    </w:p>
    <w:p>
      <w:r>
        <w:t>Negative binomial regression with an offset of log(adults aged 45 and older). IRR per 10-percentile increase in the index. Neither index is associated with capacity once metropolitan status is in the model.</w:t>
      </w:r>
    </w:p>
    <w:p>
      <w:pPr>
        <w:pStyle w:val="Heading2"/>
      </w:pPr>
      <w:r>
        <w:t>CMR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IRR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2880"/>
          </w:tcPr>
          <w:p>
            <w:r>
              <w:t>SVI, unadjusted</w:t>
            </w:r>
          </w:p>
        </w:tc>
        <w:tc>
          <w:tcPr>
            <w:tcW w:type="dxa" w:w="2880"/>
          </w:tcPr>
          <w:p>
            <w:r>
              <w:t>0.9915 (0.9521-1.0325)</w:t>
            </w:r>
          </w:p>
        </w:tc>
        <w:tc>
          <w:tcPr>
            <w:tcW w:type="dxa" w:w="2880"/>
          </w:tcPr>
          <w:p>
            <w:r>
              <w:t>0.6808</w:t>
            </w:r>
          </w:p>
        </w:tc>
      </w:tr>
      <w:tr>
        <w:tc>
          <w:tcPr>
            <w:tcW w:type="dxa" w:w="2880"/>
          </w:tcPr>
          <w:p>
            <w:r>
              <w:t>SVI, adjusted for metropolitan status</w:t>
            </w:r>
          </w:p>
        </w:tc>
        <w:tc>
          <w:tcPr>
            <w:tcW w:type="dxa" w:w="2880"/>
          </w:tcPr>
          <w:p>
            <w:r>
              <w:t>0.9964 (0.9549-1.0398)</w:t>
            </w:r>
          </w:p>
        </w:tc>
        <w:tc>
          <w:tcPr>
            <w:tcW w:type="dxa" w:w="2880"/>
          </w:tcPr>
          <w:p>
            <w:r>
              <w:t>0.8698</w:t>
            </w:r>
          </w:p>
        </w:tc>
      </w:tr>
      <w:tr>
        <w:tc>
          <w:tcPr>
            <w:tcW w:type="dxa" w:w="2880"/>
          </w:tcPr>
          <w:p>
            <w:r>
              <w:t>EDI, unadjusted</w:t>
            </w:r>
          </w:p>
        </w:tc>
        <w:tc>
          <w:tcPr>
            <w:tcW w:type="dxa" w:w="2880"/>
          </w:tcPr>
          <w:p>
            <w:r>
              <w:t>0.9373 (0.9000-0.9762)</w:t>
            </w:r>
          </w:p>
        </w:tc>
        <w:tc>
          <w:tcPr>
            <w:tcW w:type="dxa" w:w="2880"/>
          </w:tcPr>
          <w:p>
            <w:r>
              <w:t>0.0018</w:t>
            </w:r>
          </w:p>
        </w:tc>
      </w:tr>
      <w:tr>
        <w:tc>
          <w:tcPr>
            <w:tcW w:type="dxa" w:w="2880"/>
          </w:tcPr>
          <w:p>
            <w:r>
              <w:t>EDI, adjusted for metropolitan status</w:t>
            </w:r>
          </w:p>
        </w:tc>
        <w:tc>
          <w:tcPr>
            <w:tcW w:type="dxa" w:w="2880"/>
          </w:tcPr>
          <w:p>
            <w:r>
              <w:t>0.9828 (0.9409-1.0265)</w:t>
            </w:r>
          </w:p>
        </w:tc>
        <w:tc>
          <w:tcPr>
            <w:tcW w:type="dxa" w:w="2880"/>
          </w:tcPr>
          <w:p>
            <w:r>
              <w:t>0.4343</w:t>
            </w:r>
          </w:p>
        </w:tc>
      </w:tr>
      <w:tr>
        <w:tc>
          <w:tcPr>
            <w:tcW w:type="dxa" w:w="2880"/>
          </w:tcPr>
          <w:p>
            <w:r>
              <w:t>Graham Center SDI, unadjusted</w:t>
            </w:r>
          </w:p>
        </w:tc>
        <w:tc>
          <w:tcPr>
            <w:tcW w:type="dxa" w:w="2880"/>
          </w:tcPr>
          <w:p>
            <w:r>
              <w:t>1.0064 (0.9681-1.0463)</w:t>
            </w:r>
          </w:p>
        </w:tc>
        <w:tc>
          <w:tcPr>
            <w:tcW w:type="dxa" w:w="2880"/>
          </w:tcPr>
          <w:p>
            <w:r>
              <w:t>0.7458</w:t>
            </w:r>
          </w:p>
        </w:tc>
      </w:tr>
      <w:tr>
        <w:tc>
          <w:tcPr>
            <w:tcW w:type="dxa" w:w="2880"/>
          </w:tcPr>
          <w:p>
            <w:r>
              <w:t>Graham Center SDI, adjusted for metropolitan status</w:t>
            </w:r>
          </w:p>
        </w:tc>
        <w:tc>
          <w:tcPr>
            <w:tcW w:type="dxa" w:w="2880"/>
          </w:tcPr>
          <w:p>
            <w:r>
              <w:t>1.0260 (0.9852-1.0686)</w:t>
            </w:r>
          </w:p>
        </w:tc>
        <w:tc>
          <w:tcPr>
            <w:tcW w:type="dxa" w:w="2880"/>
          </w:tcPr>
          <w:p>
            <w:r>
              <w:t>0.2149</w:t>
            </w:r>
          </w:p>
        </w:tc>
      </w:tr>
      <w:tr>
        <w:tc>
          <w:tcPr>
            <w:tcW w:type="dxa" w:w="2880"/>
          </w:tcPr>
          <w:p>
            <w:r>
              <w:t>Metropolitan status (from adjusted EDI model)</w:t>
            </w:r>
          </w:p>
        </w:tc>
        <w:tc>
          <w:tcPr>
            <w:tcW w:type="dxa" w:w="2880"/>
          </w:tcPr>
          <w:p>
            <w:r>
              <w:t>8.2307 (4.6523-14.5614)</w:t>
            </w:r>
          </w:p>
        </w:tc>
        <w:tc>
          <w:tcPr>
            <w:tcW w:type="dxa" w:w="2880"/>
          </w:tcPr>
          <w:p>
            <w:r>
              <w:t>&lt;0.0001</w:t>
            </w:r>
          </w:p>
        </w:tc>
      </w:tr>
    </w:tbl>
    <w:p>
      <w:pPr>
        <w:pStyle w:val="Heading2"/>
      </w:pPr>
      <w:r>
        <w:t>CCT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IRR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2880"/>
          </w:tcPr>
          <w:p>
            <w:r>
              <w:t>SVI, unadjusted</w:t>
            </w:r>
          </w:p>
        </w:tc>
        <w:tc>
          <w:tcPr>
            <w:tcW w:type="dxa" w:w="2880"/>
          </w:tcPr>
          <w:p>
            <w:r>
              <w:t>1.0203 (0.9885-1.0530)</w:t>
            </w:r>
          </w:p>
        </w:tc>
        <w:tc>
          <w:tcPr>
            <w:tcW w:type="dxa" w:w="2880"/>
          </w:tcPr>
          <w:p>
            <w:r>
              <w:t>0.2130</w:t>
            </w:r>
          </w:p>
        </w:tc>
      </w:tr>
      <w:tr>
        <w:tc>
          <w:tcPr>
            <w:tcW w:type="dxa" w:w="2880"/>
          </w:tcPr>
          <w:p>
            <w:r>
              <w:t>SVI, adjusted for metropolitan status</w:t>
            </w:r>
          </w:p>
        </w:tc>
        <w:tc>
          <w:tcPr>
            <w:tcW w:type="dxa" w:w="2880"/>
          </w:tcPr>
          <w:p>
            <w:r>
              <w:t>1.0257 (0.9929-1.0596)</w:t>
            </w:r>
          </w:p>
        </w:tc>
        <w:tc>
          <w:tcPr>
            <w:tcW w:type="dxa" w:w="2880"/>
          </w:tcPr>
          <w:p>
            <w:r>
              <w:t>0.1265</w:t>
            </w:r>
          </w:p>
        </w:tc>
      </w:tr>
      <w:tr>
        <w:tc>
          <w:tcPr>
            <w:tcW w:type="dxa" w:w="2880"/>
          </w:tcPr>
          <w:p>
            <w:r>
              <w:t>EDI, unadjusted</w:t>
            </w:r>
          </w:p>
        </w:tc>
        <w:tc>
          <w:tcPr>
            <w:tcW w:type="dxa" w:w="2880"/>
          </w:tcPr>
          <w:p>
            <w:r>
              <w:t>0.9789 (0.9490-1.0097)</w:t>
            </w:r>
          </w:p>
        </w:tc>
        <w:tc>
          <w:tcPr>
            <w:tcW w:type="dxa" w:w="2880"/>
          </w:tcPr>
          <w:p>
            <w:r>
              <w:t>0.1767</w:t>
            </w:r>
          </w:p>
        </w:tc>
      </w:tr>
      <w:tr>
        <w:tc>
          <w:tcPr>
            <w:tcW w:type="dxa" w:w="2880"/>
          </w:tcPr>
          <w:p>
            <w:r>
              <w:t>EDI, adjusted for metropolitan status</w:t>
            </w:r>
          </w:p>
        </w:tc>
        <w:tc>
          <w:tcPr>
            <w:tcW w:type="dxa" w:w="2880"/>
          </w:tcPr>
          <w:p>
            <w:r>
              <w:t>1.0074 (0.9745-1.0414)</w:t>
            </w:r>
          </w:p>
        </w:tc>
        <w:tc>
          <w:tcPr>
            <w:tcW w:type="dxa" w:w="2880"/>
          </w:tcPr>
          <w:p>
            <w:r>
              <w:t>0.6633</w:t>
            </w:r>
          </w:p>
        </w:tc>
      </w:tr>
      <w:tr>
        <w:tc>
          <w:tcPr>
            <w:tcW w:type="dxa" w:w="2880"/>
          </w:tcPr>
          <w:p>
            <w:r>
              <w:t>Graham Center SDI, unadjusted</w:t>
            </w:r>
          </w:p>
        </w:tc>
        <w:tc>
          <w:tcPr>
            <w:tcW w:type="dxa" w:w="2880"/>
          </w:tcPr>
          <w:p>
            <w:r>
              <w:t>1.0166 (0.9861-1.0480)</w:t>
            </w:r>
          </w:p>
        </w:tc>
        <w:tc>
          <w:tcPr>
            <w:tcW w:type="dxa" w:w="2880"/>
          </w:tcPr>
          <w:p>
            <w:r>
              <w:t>0.2901</w:t>
            </w:r>
          </w:p>
        </w:tc>
      </w:tr>
      <w:tr>
        <w:tc>
          <w:tcPr>
            <w:tcW w:type="dxa" w:w="2880"/>
          </w:tcPr>
          <w:p>
            <w:r>
              <w:t>Graham Center SDI, adjusted for metropolitan status</w:t>
            </w:r>
          </w:p>
        </w:tc>
        <w:tc>
          <w:tcPr>
            <w:tcW w:type="dxa" w:w="2880"/>
          </w:tcPr>
          <w:p>
            <w:r>
              <w:t>1.0303 (0.9983-1.0632)</w:t>
            </w:r>
          </w:p>
        </w:tc>
        <w:tc>
          <w:tcPr>
            <w:tcW w:type="dxa" w:w="2880"/>
          </w:tcPr>
          <w:p>
            <w:r>
              <w:t>0.0634</w:t>
            </w:r>
          </w:p>
        </w:tc>
      </w:tr>
      <w:tr>
        <w:tc>
          <w:tcPr>
            <w:tcW w:type="dxa" w:w="2880"/>
          </w:tcPr>
          <w:p>
            <w:r>
              <w:t>Metropolitan status (from adjusted EDI model)</w:t>
            </w:r>
          </w:p>
        </w:tc>
        <w:tc>
          <w:tcPr>
            <w:tcW w:type="dxa" w:w="2880"/>
          </w:tcPr>
          <w:p>
            <w:r>
              <w:t>1.9619 (1.5583-2.4702)</w:t>
            </w:r>
          </w:p>
        </w:tc>
        <w:tc>
          <w:tcPr>
            <w:tcW w:type="dxa" w:w="2880"/>
          </w:tcPr>
          <w:p>
            <w:r>
              <w:t>&lt;0.0001</w:t>
            </w:r>
          </w:p>
        </w:tc>
      </w:tr>
    </w:tbl>
    <w:p>
      <w:r>
        <w:t>Correlation between SVI and EDI: Pearson r = 0.8209 (P &lt;0.0001). The two indices are strongly correlated but measure overlapping rather than identical constructs.</w:t>
      </w:r>
    </w:p>
    <w:p>
      <w:r>
        <w:t>Agreement between our EDI and the external Graham Center SDI: Spearman rho = 0.883, Pearson r = 0.882, across 3133 of 3144 counties.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