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Table. Economic Deprivation Index (EDI) and accredited cardiac imaging capacity</w:t>
      </w:r>
    </w:p>
    <w:p>
      <w:pPr>
        <w:jc w:val="left"/>
      </w:pPr>
      <w:r>
        <w:t>Negative binomial regression with an offset of log(adults aged 45 and older). IRR is expressed per 10-percentile increase in EDI. Rate-eligible counties only (≥1,000 adults aged 45+).</w:t>
      </w:r>
    </w:p>
    <w:p>
      <w:pPr>
        <w:pStyle w:val="Heading2"/>
      </w:pPr>
      <w:r>
        <w:t>CMR (n = 3029 counties)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IRR (95% CI)</w:t>
            </w:r>
          </w:p>
        </w:tc>
        <w:tc>
          <w:tcPr>
            <w:tcW w:type="dxa" w:w="2880"/>
          </w:tcPr>
          <w:p>
            <w:r>
              <w:rPr>
                <w:b/>
              </w:rPr>
              <w:t>P value</w:t>
            </w:r>
          </w:p>
        </w:tc>
      </w:tr>
      <w:tr>
        <w:tc>
          <w:tcPr>
            <w:tcW w:type="dxa" w:w="2880"/>
          </w:tcPr>
          <w:p>
            <w:r>
              <w:t>EDI, unadjusted</w:t>
            </w:r>
          </w:p>
        </w:tc>
        <w:tc>
          <w:tcPr>
            <w:tcW w:type="dxa" w:w="2880"/>
          </w:tcPr>
          <w:p>
            <w:r>
              <w:t>0.9430 (0.9060-0.9815)</w:t>
            </w:r>
          </w:p>
        </w:tc>
        <w:tc>
          <w:tcPr>
            <w:tcW w:type="dxa" w:w="2880"/>
          </w:tcPr>
          <w:p>
            <w:r>
              <w:t>0.0041</w:t>
            </w:r>
          </w:p>
        </w:tc>
      </w:tr>
      <w:tr>
        <w:tc>
          <w:tcPr>
            <w:tcW w:type="dxa" w:w="2880"/>
          </w:tcPr>
          <w:p>
            <w:r>
              <w:t>EDI, adjusted for metropolitan status</w:t>
            </w:r>
          </w:p>
        </w:tc>
        <w:tc>
          <w:tcPr>
            <w:tcW w:type="dxa" w:w="2880"/>
          </w:tcPr>
          <w:p>
            <w:r>
              <w:t>0.9897 (0.9481-1.0331)</w:t>
            </w:r>
          </w:p>
        </w:tc>
        <w:tc>
          <w:tcPr>
            <w:tcW w:type="dxa" w:w="2880"/>
          </w:tcPr>
          <w:p>
            <w:r>
              <w:t>0.6370</w:t>
            </w:r>
          </w:p>
        </w:tc>
      </w:tr>
      <w:tr>
        <w:tc>
          <w:tcPr>
            <w:tcW w:type="dxa" w:w="2880"/>
          </w:tcPr>
          <w:p>
            <w:r>
              <w:t>EDI, adjusted for ordinal RUCC</w:t>
            </w:r>
          </w:p>
        </w:tc>
        <w:tc>
          <w:tcPr>
            <w:tcW w:type="dxa" w:w="2880"/>
          </w:tcPr>
          <w:p>
            <w:r>
              <w:t>1.0004 (0.9569-1.0458)</w:t>
            </w:r>
          </w:p>
        </w:tc>
        <w:tc>
          <w:tcPr>
            <w:tcW w:type="dxa" w:w="2880"/>
          </w:tcPr>
          <w:p>
            <w:r>
              <w:t>0.9858</w:t>
            </w:r>
          </w:p>
        </w:tc>
      </w:tr>
      <w:tr>
        <w:tc>
          <w:tcPr>
            <w:tcW w:type="dxa" w:w="2880"/>
          </w:tcPr>
          <w:p>
            <w:r>
              <w:t>EDI, metropolitan counties only</w:t>
            </w:r>
          </w:p>
        </w:tc>
        <w:tc>
          <w:tcPr>
            <w:tcW w:type="dxa" w:w="2880"/>
          </w:tcPr>
          <w:p>
            <w:r>
              <w:t>1.0035 (0.9606-1.0483)</w:t>
            </w:r>
          </w:p>
        </w:tc>
        <w:tc>
          <w:tcPr>
            <w:tcW w:type="dxa" w:w="2880"/>
          </w:tcPr>
          <w:p>
            <w:r>
              <w:t>0.8769</w:t>
            </w:r>
          </w:p>
        </w:tc>
      </w:tr>
      <w:tr>
        <w:tc>
          <w:tcPr>
            <w:tcW w:type="dxa" w:w="2880"/>
          </w:tcPr>
          <w:p>
            <w:r>
              <w:t>EDI, nonmetropolitan counties only</w:t>
            </w:r>
          </w:p>
        </w:tc>
        <w:tc>
          <w:tcPr>
            <w:tcW w:type="dxa" w:w="2880"/>
          </w:tcPr>
          <w:p>
            <w:r>
              <w:t>0.7044 (0.5562-0.8920)</w:t>
            </w:r>
          </w:p>
        </w:tc>
        <w:tc>
          <w:tcPr>
            <w:tcW w:type="dxa" w:w="2880"/>
          </w:tcPr>
          <w:p>
            <w:r>
              <w:t>0.0036</w:t>
            </w:r>
          </w:p>
        </w:tc>
      </w:tr>
      <w:tr>
        <w:tc>
          <w:tcPr>
            <w:tcW w:type="dxa" w:w="2880"/>
          </w:tcPr>
          <w:p>
            <w:r>
              <w:t>Metropolitan status (from adjusted model)</w:t>
            </w:r>
          </w:p>
        </w:tc>
        <w:tc>
          <w:tcPr>
            <w:tcW w:type="dxa" w:w="2880"/>
          </w:tcPr>
          <w:p>
            <w:r>
              <w:t>8.0282 (4.6262-13.9318)</w:t>
            </w:r>
          </w:p>
        </w:tc>
        <w:tc>
          <w:tcPr>
            <w:tcW w:type="dxa" w:w="2880"/>
          </w:tcPr>
          <w:p>
            <w:r>
              <w:t>&lt;0.0001</w:t>
            </w:r>
          </w:p>
        </w:tc>
      </w:tr>
    </w:tbl>
    <w:p>
      <w:r>
        <w:t>Stratum sizes. Metropolitan, 1173 counties carrying 694 facilities in 282 counties. Nonmetropolitan, 1856 counties carrying 14 facilities in 14 counties.</w:t>
      </w:r>
    </w:p>
    <w:p>
      <w:r>
        <w:rPr>
          <w:i/>
        </w:rPr>
        <w:t>Caution. The nonmetropolitan CMR stratum contains only 14 facilities. Estimates from it are unstable and should be read as exploratory.</w:t>
      </w:r>
    </w:p>
    <w:p>
      <w:pPr>
        <w:pStyle w:val="Heading2"/>
      </w:pPr>
      <w:r>
        <w:t>CCT (n = 3029 counties)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IRR (95% CI)</w:t>
            </w:r>
          </w:p>
        </w:tc>
        <w:tc>
          <w:tcPr>
            <w:tcW w:type="dxa" w:w="2880"/>
          </w:tcPr>
          <w:p>
            <w:r>
              <w:rPr>
                <w:b/>
              </w:rPr>
              <w:t>P value</w:t>
            </w:r>
          </w:p>
        </w:tc>
      </w:tr>
      <w:tr>
        <w:tc>
          <w:tcPr>
            <w:tcW w:type="dxa" w:w="2880"/>
          </w:tcPr>
          <w:p>
            <w:r>
              <w:t>EDI, unadjusted</w:t>
            </w:r>
          </w:p>
        </w:tc>
        <w:tc>
          <w:tcPr>
            <w:tcW w:type="dxa" w:w="2880"/>
          </w:tcPr>
          <w:p>
            <w:r>
              <w:t>0.9805 (0.9509-1.0111)</w:t>
            </w:r>
          </w:p>
        </w:tc>
        <w:tc>
          <w:tcPr>
            <w:tcW w:type="dxa" w:w="2880"/>
          </w:tcPr>
          <w:p>
            <w:r>
              <w:t>0.2094</w:t>
            </w:r>
          </w:p>
        </w:tc>
      </w:tr>
      <w:tr>
        <w:tc>
          <w:tcPr>
            <w:tcW w:type="dxa" w:w="2880"/>
          </w:tcPr>
          <w:p>
            <w:r>
              <w:t>EDI, adjusted for metropolitan status</w:t>
            </w:r>
          </w:p>
        </w:tc>
        <w:tc>
          <w:tcPr>
            <w:tcW w:type="dxa" w:w="2880"/>
          </w:tcPr>
          <w:p>
            <w:r>
              <w:t>1.0097 (0.9770-1.0435)</w:t>
            </w:r>
          </w:p>
        </w:tc>
        <w:tc>
          <w:tcPr>
            <w:tcW w:type="dxa" w:w="2880"/>
          </w:tcPr>
          <w:p>
            <w:r>
              <w:t>0.5667</w:t>
            </w:r>
          </w:p>
        </w:tc>
      </w:tr>
      <w:tr>
        <w:tc>
          <w:tcPr>
            <w:tcW w:type="dxa" w:w="2880"/>
          </w:tcPr>
          <w:p>
            <w:r>
              <w:t>EDI, adjusted for ordinal RUCC</w:t>
            </w:r>
          </w:p>
        </w:tc>
        <w:tc>
          <w:tcPr>
            <w:tcW w:type="dxa" w:w="2880"/>
          </w:tcPr>
          <w:p>
            <w:r>
              <w:t>1.0216 (0.9876-1.0568)</w:t>
            </w:r>
          </w:p>
        </w:tc>
        <w:tc>
          <w:tcPr>
            <w:tcW w:type="dxa" w:w="2880"/>
          </w:tcPr>
          <w:p>
            <w:r>
              <w:t>0.2163</w:t>
            </w:r>
          </w:p>
        </w:tc>
      </w:tr>
      <w:tr>
        <w:tc>
          <w:tcPr>
            <w:tcW w:type="dxa" w:w="2880"/>
          </w:tcPr>
          <w:p>
            <w:r>
              <w:t>EDI, metropolitan counties only</w:t>
            </w:r>
          </w:p>
        </w:tc>
        <w:tc>
          <w:tcPr>
            <w:tcW w:type="dxa" w:w="2880"/>
          </w:tcPr>
          <w:p>
            <w:r>
              <w:t>1.0217 (0.9852-1.0596)</w:t>
            </w:r>
          </w:p>
        </w:tc>
        <w:tc>
          <w:tcPr>
            <w:tcW w:type="dxa" w:w="2880"/>
          </w:tcPr>
          <w:p>
            <w:r>
              <w:t>0.2479</w:t>
            </w:r>
          </w:p>
        </w:tc>
      </w:tr>
      <w:tr>
        <w:tc>
          <w:tcPr>
            <w:tcW w:type="dxa" w:w="2880"/>
          </w:tcPr>
          <w:p>
            <w:r>
              <w:t>EDI, nonmetropolitan counties only</w:t>
            </w:r>
          </w:p>
        </w:tc>
        <w:tc>
          <w:tcPr>
            <w:tcW w:type="dxa" w:w="2880"/>
          </w:tcPr>
          <w:p>
            <w:r>
              <w:t>0.9588 (0.8891-1.0339)</w:t>
            </w:r>
          </w:p>
        </w:tc>
        <w:tc>
          <w:tcPr>
            <w:tcW w:type="dxa" w:w="2880"/>
          </w:tcPr>
          <w:p>
            <w:r>
              <w:t>0.2743</w:t>
            </w:r>
          </w:p>
        </w:tc>
      </w:tr>
      <w:tr>
        <w:tc>
          <w:tcPr>
            <w:tcW w:type="dxa" w:w="2880"/>
          </w:tcPr>
          <w:p>
            <w:r>
              <w:t>Metropolitan status (from adjusted model)</w:t>
            </w:r>
          </w:p>
        </w:tc>
        <w:tc>
          <w:tcPr>
            <w:tcW w:type="dxa" w:w="2880"/>
          </w:tcPr>
          <w:p>
            <w:r>
              <w:t>1.9801 (1.5764-2.4873)</w:t>
            </w:r>
          </w:p>
        </w:tc>
        <w:tc>
          <w:tcPr>
            <w:tcW w:type="dxa" w:w="2880"/>
          </w:tcPr>
          <w:p>
            <w:r>
              <w:t>&lt;0.0001</w:t>
            </w:r>
          </w:p>
        </w:tc>
      </w:tr>
    </w:tbl>
    <w:p>
      <w:r>
        <w:t>Stratum sizes. Metropolitan, 1173 counties carrying 1409 facilities in 438 counties. Nonmetropolitan, 1856 counties carrying 115 facilities in 108 counties.</w:t>
      </w:r>
    </w:p>
    <w:p>
      <w:pPr>
        <w:pStyle w:val="Heading2"/>
      </w:pPr>
      <w:r>
        <w:t>Why the unadjusted association appears</w:t>
      </w:r>
    </w:p>
    <w:p>
      <w:r>
        <w:t>The EDI tracks rurality. Spearman rho versus RUCC is 0.280, and mean EDI is 39.9 in metropolitan counties versus 56.9 in nonmetropolitan counties, a gap of 17.0 points. Because accredited capacity is concentrated in metropolitan counties, an unadjusted deprivation model absorbs the rurality signal. Once metropolitan status is included, the deprivation term is no longer associated with capacity.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