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Table 4. Social Vulnerability Index versus Economic Deprivation Index, unadjusted and adjusted for rurality</w:t>
      </w:r>
    </w:p>
    <w:p>
      <w:r>
        <w:t>Negative binomial regression with an offset of log(adults aged 45 and older). IRR per 10-percentile increase in the index. Neither index is associated with capacity once metropolitan status is in the model.</w:t>
      </w:r>
    </w:p>
    <w:p>
      <w:pPr>
        <w:pStyle w:val="Heading2"/>
      </w:pPr>
      <w:r>
        <w:t>CMR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IRR (95% CI)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 value</w:t>
            </w:r>
          </w:p>
        </w:tc>
      </w:tr>
      <w:tr>
        <w:tc>
          <w:tcPr>
            <w:tcW w:type="dxa" w:w="2880"/>
          </w:tcPr>
          <w:p>
            <w:r>
              <w:t>SVI, unadjusted</w:t>
            </w:r>
          </w:p>
        </w:tc>
        <w:tc>
          <w:tcPr>
            <w:tcW w:type="dxa" w:w="2880"/>
          </w:tcPr>
          <w:p>
            <w:r>
              <w:t>0.9978 (0.9588-1.0384)</w:t>
            </w:r>
          </w:p>
        </w:tc>
        <w:tc>
          <w:tcPr>
            <w:tcW w:type="dxa" w:w="2880"/>
          </w:tcPr>
          <w:p>
            <w:r>
              <w:t>0.9138</w:t>
            </w:r>
          </w:p>
        </w:tc>
      </w:tr>
      <w:tr>
        <w:tc>
          <w:tcPr>
            <w:tcW w:type="dxa" w:w="2880"/>
          </w:tcPr>
          <w:p>
            <w:r>
              <w:t>SVI, adjusted for metropolitan status</w:t>
            </w:r>
          </w:p>
        </w:tc>
        <w:tc>
          <w:tcPr>
            <w:tcW w:type="dxa" w:w="2880"/>
          </w:tcPr>
          <w:p>
            <w:r>
              <w:t>1.0040 (0.9628-1.0470)</w:t>
            </w:r>
          </w:p>
        </w:tc>
        <w:tc>
          <w:tcPr>
            <w:tcW w:type="dxa" w:w="2880"/>
          </w:tcPr>
          <w:p>
            <w:r>
              <w:t>0.8522</w:t>
            </w:r>
          </w:p>
        </w:tc>
      </w:tr>
      <w:tr>
        <w:tc>
          <w:tcPr>
            <w:tcW w:type="dxa" w:w="2880"/>
          </w:tcPr>
          <w:p>
            <w:r>
              <w:t>EDI, unadjusted</w:t>
            </w:r>
          </w:p>
        </w:tc>
        <w:tc>
          <w:tcPr>
            <w:tcW w:type="dxa" w:w="2880"/>
          </w:tcPr>
          <w:p>
            <w:r>
              <w:t>0.9430 (0.9060-0.9815)</w:t>
            </w:r>
          </w:p>
        </w:tc>
        <w:tc>
          <w:tcPr>
            <w:tcW w:type="dxa" w:w="2880"/>
          </w:tcPr>
          <w:p>
            <w:r>
              <w:t>0.0041</w:t>
            </w:r>
          </w:p>
        </w:tc>
      </w:tr>
      <w:tr>
        <w:tc>
          <w:tcPr>
            <w:tcW w:type="dxa" w:w="2880"/>
          </w:tcPr>
          <w:p>
            <w:r>
              <w:t>EDI, adjusted for metropolitan status</w:t>
            </w:r>
          </w:p>
        </w:tc>
        <w:tc>
          <w:tcPr>
            <w:tcW w:type="dxa" w:w="2880"/>
          </w:tcPr>
          <w:p>
            <w:r>
              <w:t>0.9897 (0.9481-1.0331)</w:t>
            </w:r>
          </w:p>
        </w:tc>
        <w:tc>
          <w:tcPr>
            <w:tcW w:type="dxa" w:w="2880"/>
          </w:tcPr>
          <w:p>
            <w:r>
              <w:t>0.6370</w:t>
            </w:r>
          </w:p>
        </w:tc>
      </w:tr>
      <w:tr>
        <w:tc>
          <w:tcPr>
            <w:tcW w:type="dxa" w:w="2880"/>
          </w:tcPr>
          <w:p>
            <w:r>
              <w:t>Graham Center SDI, unadjusted</w:t>
            </w:r>
          </w:p>
        </w:tc>
        <w:tc>
          <w:tcPr>
            <w:tcW w:type="dxa" w:w="2880"/>
          </w:tcPr>
          <w:p>
            <w:r>
              <w:t>1.0144 (0.9762-1.0541)</w:t>
            </w:r>
          </w:p>
        </w:tc>
        <w:tc>
          <w:tcPr>
            <w:tcW w:type="dxa" w:w="2880"/>
          </w:tcPr>
          <w:p>
            <w:r>
              <w:t>0.4660</w:t>
            </w:r>
          </w:p>
        </w:tc>
      </w:tr>
      <w:tr>
        <w:tc>
          <w:tcPr>
            <w:tcW w:type="dxa" w:w="2880"/>
          </w:tcPr>
          <w:p>
            <w:r>
              <w:t>Graham Center SDI, adjusted for metropolitan status</w:t>
            </w:r>
          </w:p>
        </w:tc>
        <w:tc>
          <w:tcPr>
            <w:tcW w:type="dxa" w:w="2880"/>
          </w:tcPr>
          <w:p>
            <w:r>
              <w:t>1.0354 (0.9946-1.0778)</w:t>
            </w:r>
          </w:p>
        </w:tc>
        <w:tc>
          <w:tcPr>
            <w:tcW w:type="dxa" w:w="2880"/>
          </w:tcPr>
          <w:p>
            <w:r>
              <w:t>0.0895</w:t>
            </w:r>
          </w:p>
        </w:tc>
      </w:tr>
      <w:tr>
        <w:tc>
          <w:tcPr>
            <w:tcW w:type="dxa" w:w="2880"/>
          </w:tcPr>
          <w:p>
            <w:r>
              <w:t>Metropolitan status (from adjusted EDI model)</w:t>
            </w:r>
          </w:p>
        </w:tc>
        <w:tc>
          <w:tcPr>
            <w:tcW w:type="dxa" w:w="2880"/>
          </w:tcPr>
          <w:p>
            <w:r>
              <w:t>8.0282 (4.6262-13.9318)</w:t>
            </w:r>
          </w:p>
        </w:tc>
        <w:tc>
          <w:tcPr>
            <w:tcW w:type="dxa" w:w="2880"/>
          </w:tcPr>
          <w:p>
            <w:r>
              <w:t>&lt;0.0001</w:t>
            </w:r>
          </w:p>
        </w:tc>
      </w:tr>
    </w:tbl>
    <w:p>
      <w:pPr>
        <w:pStyle w:val="Heading2"/>
      </w:pPr>
      <w:r>
        <w:t>CCT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IRR (95% CI)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 value</w:t>
            </w:r>
          </w:p>
        </w:tc>
      </w:tr>
      <w:tr>
        <w:tc>
          <w:tcPr>
            <w:tcW w:type="dxa" w:w="2880"/>
          </w:tcPr>
          <w:p>
            <w:r>
              <w:t>SVI, unadjusted</w:t>
            </w:r>
          </w:p>
        </w:tc>
        <w:tc>
          <w:tcPr>
            <w:tcW w:type="dxa" w:w="2880"/>
          </w:tcPr>
          <w:p>
            <w:r>
              <w:t>1.0255 (0.9939-1.0580)</w:t>
            </w:r>
          </w:p>
        </w:tc>
        <w:tc>
          <w:tcPr>
            <w:tcW w:type="dxa" w:w="2880"/>
          </w:tcPr>
          <w:p>
            <w:r>
              <w:t>0.1144</w:t>
            </w:r>
          </w:p>
        </w:tc>
      </w:tr>
      <w:tr>
        <w:tc>
          <w:tcPr>
            <w:tcW w:type="dxa" w:w="2880"/>
          </w:tcPr>
          <w:p>
            <w:r>
              <w:t>SVI, adjusted for metropolitan status</w:t>
            </w:r>
          </w:p>
        </w:tc>
        <w:tc>
          <w:tcPr>
            <w:tcW w:type="dxa" w:w="2880"/>
          </w:tcPr>
          <w:p>
            <w:r>
              <w:t>1.0315 (0.9988-1.0652)</w:t>
            </w:r>
          </w:p>
        </w:tc>
        <w:tc>
          <w:tcPr>
            <w:tcW w:type="dxa" w:w="2880"/>
          </w:tcPr>
          <w:p>
            <w:r>
              <w:t>0.0594</w:t>
            </w:r>
          </w:p>
        </w:tc>
      </w:tr>
      <w:tr>
        <w:tc>
          <w:tcPr>
            <w:tcW w:type="dxa" w:w="2880"/>
          </w:tcPr>
          <w:p>
            <w:r>
              <w:t>EDI, unadjusted</w:t>
            </w:r>
          </w:p>
        </w:tc>
        <w:tc>
          <w:tcPr>
            <w:tcW w:type="dxa" w:w="2880"/>
          </w:tcPr>
          <w:p>
            <w:r>
              <w:t>0.9805 (0.9509-1.0111)</w:t>
            </w:r>
          </w:p>
        </w:tc>
        <w:tc>
          <w:tcPr>
            <w:tcW w:type="dxa" w:w="2880"/>
          </w:tcPr>
          <w:p>
            <w:r>
              <w:t>0.2094</w:t>
            </w:r>
          </w:p>
        </w:tc>
      </w:tr>
      <w:tr>
        <w:tc>
          <w:tcPr>
            <w:tcW w:type="dxa" w:w="2880"/>
          </w:tcPr>
          <w:p>
            <w:r>
              <w:t>EDI, adjusted for metropolitan status</w:t>
            </w:r>
          </w:p>
        </w:tc>
        <w:tc>
          <w:tcPr>
            <w:tcW w:type="dxa" w:w="2880"/>
          </w:tcPr>
          <w:p>
            <w:r>
              <w:t>1.0097 (0.9770-1.0435)</w:t>
            </w:r>
          </w:p>
        </w:tc>
        <w:tc>
          <w:tcPr>
            <w:tcW w:type="dxa" w:w="2880"/>
          </w:tcPr>
          <w:p>
            <w:r>
              <w:t>0.5667</w:t>
            </w:r>
          </w:p>
        </w:tc>
      </w:tr>
      <w:tr>
        <w:tc>
          <w:tcPr>
            <w:tcW w:type="dxa" w:w="2880"/>
          </w:tcPr>
          <w:p>
            <w:r>
              <w:t>Graham Center SDI, unadjusted</w:t>
            </w:r>
          </w:p>
        </w:tc>
        <w:tc>
          <w:tcPr>
            <w:tcW w:type="dxa" w:w="2880"/>
          </w:tcPr>
          <w:p>
            <w:r>
              <w:t>1.0205 (0.9902-1.0518)</w:t>
            </w:r>
          </w:p>
        </w:tc>
        <w:tc>
          <w:tcPr>
            <w:tcW w:type="dxa" w:w="2880"/>
          </w:tcPr>
          <w:p>
            <w:r>
              <w:t>0.1876</w:t>
            </w:r>
          </w:p>
        </w:tc>
      </w:tr>
      <w:tr>
        <w:tc>
          <w:tcPr>
            <w:tcW w:type="dxa" w:w="2880"/>
          </w:tcPr>
          <w:p>
            <w:r>
              <w:t>Graham Center SDI, adjusted for metropolitan status</w:t>
            </w:r>
          </w:p>
        </w:tc>
        <w:tc>
          <w:tcPr>
            <w:tcW w:type="dxa" w:w="2880"/>
          </w:tcPr>
          <w:p>
            <w:r>
              <w:t>1.0347 (1.0029-1.0676)</w:t>
            </w:r>
          </w:p>
        </w:tc>
        <w:tc>
          <w:tcPr>
            <w:tcW w:type="dxa" w:w="2880"/>
          </w:tcPr>
          <w:p>
            <w:r>
              <w:t>0.0321</w:t>
            </w:r>
          </w:p>
        </w:tc>
      </w:tr>
      <w:tr>
        <w:tc>
          <w:tcPr>
            <w:tcW w:type="dxa" w:w="2880"/>
          </w:tcPr>
          <w:p>
            <w:r>
              <w:t>Metropolitan status (from adjusted EDI model)</w:t>
            </w:r>
          </w:p>
        </w:tc>
        <w:tc>
          <w:tcPr>
            <w:tcW w:type="dxa" w:w="2880"/>
          </w:tcPr>
          <w:p>
            <w:r>
              <w:t>1.9801 (1.5764-2.4873)</w:t>
            </w:r>
          </w:p>
        </w:tc>
        <w:tc>
          <w:tcPr>
            <w:tcW w:type="dxa" w:w="2880"/>
          </w:tcPr>
          <w:p>
            <w:r>
              <w:t>&lt;0.0001</w:t>
            </w:r>
          </w:p>
        </w:tc>
      </w:tr>
    </w:tbl>
    <w:p>
      <w:r>
        <w:t>Correlation between SVI and EDI: Pearson r = 0.8209 (P &lt;0.0001). The two indices are strongly correlated but measure overlapping rather than identical constructs.</w:t>
      </w:r>
    </w:p>
    <w:p>
      <w:r>
        <w:t>Agreement between our EDI and the external Graham Center SDI: Spearman rho = 0.883, Pearson r = 0.882, across 3133 of 3144 counties.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