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37E"/>
          <w:sz w:val="24"/>
        </w:rPr>
        <w:t>Table 1. ACR-Accredited Cardiac Imaging Capacity by Social Vulnerability Index Quartile and Rurality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Stratum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Counties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Pop ≥45</w:t>
              <w:br/>
              <w:t>(millions)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CMR</w:t>
              <w:br/>
              <w:t>Sites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CMR Counties</w:t>
              <w:br/>
              <w:t>(% with ≥1)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CMR Median Rate</w:t>
              <w:br/>
              <w:t>(IQR)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CMR</w:t>
              <w:br/>
              <w:t>Mean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CCT</w:t>
              <w:br/>
              <w:t>Sites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CCT Counties</w:t>
              <w:br/>
              <w:t>(% with ≥1)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CCT Median Rate</w:t>
              <w:br/>
              <w:t>(IQR)</w:t>
            </w:r>
          </w:p>
        </w:tc>
        <w:tc>
          <w:tcPr>
            <w:tcW w:type="dxa" w:w="1285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CCT</w:t>
              <w:br/>
              <w:t>Mean</w:t>
            </w:r>
          </w:p>
        </w:tc>
      </w:tr>
      <w:tr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All US Counties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3144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141.60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687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289 (9.2%)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0.150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1481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532 (16.9%)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17"/>
              </w:rPr>
              <w:t>0.501</w:t>
            </w:r>
          </w:p>
        </w:tc>
      </w:tr>
      <w:tr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Q1 — Least Vulnerable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786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21.47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98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61 (7.8%)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0.157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177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 (12.7%)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0.341</w:t>
            </w:r>
          </w:p>
        </w:tc>
      </w:tr>
      <w:tr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Q2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786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33.62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159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70 (8.9%)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0.158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338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148 (18.8%)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0.571</w:t>
            </w:r>
          </w:p>
        </w:tc>
      </w:tr>
      <w:tr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Q3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786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40.39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216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88 (11.2%)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0.152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450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162 (20.6%)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0.566</w:t>
            </w:r>
          </w:p>
        </w:tc>
      </w:tr>
      <w:tr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Q4 — Most Vulnerable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786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46.12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214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70 (8.9%)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0.131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516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122 (15.5%)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0.517</w:t>
            </w:r>
          </w:p>
        </w:tc>
      </w:tr>
      <w:tr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Metropolitan (RUCC 1–3)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1186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120.34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674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276 (23.3%)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0.348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1369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427 (36.0%)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(0.00–1.21)</w:t>
            </w:r>
          </w:p>
        </w:tc>
        <w:tc>
          <w:tcPr>
            <w:tcW w:type="dxa" w:w="128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0.732</w:t>
            </w:r>
          </w:p>
        </w:tc>
      </w:tr>
      <w:tr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Nonmetropolitan (RUCC 4–9)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1958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21.26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 (0.7%)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0.024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112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105 (5.4%)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0.00 (0.00–0.00)</w:t>
            </w:r>
          </w:p>
        </w:tc>
        <w:tc>
          <w:tcPr>
            <w:tcW w:type="dxa" w:w="1285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0.354</w:t>
            </w:r>
          </w:p>
        </w:tc>
      </w:tr>
    </w:tbl>
    <w:p/>
    <w:p>
      <w:r>
        <w:rPr>
          <w:rFonts w:ascii="Calibri" w:hAnsi="Calibri"/>
          <w:color w:val="555555"/>
          <w:sz w:val="16"/>
        </w:rPr>
        <w:t>Abbreviations: ACR = American College of Radiology; SVI = Social Vulnerability Index (CDC/ATSDR 2022); RUCC = Rural-Urban Continuum Code (USDA 2023); CMR = Cardiac Magnetic Resonance; CCT = Cardiac Computed Tomography; IQR = Interquartile Range.</w:t>
      </w:r>
    </w:p>
    <w:p>
      <w:r>
        <w:rPr>
          <w:rFonts w:ascii="Calibri" w:hAnsi="Calibri"/>
          <w:color w:val="555555"/>
          <w:sz w:val="16"/>
        </w:rPr>
        <w:t>Notes: Rate = ACR-accredited facilities per 100,000 adults aged ≥45 years. Population from ACS 5-year estimates (2019–2023). Counties with &lt;1,000 adults ≥45 excluded from rate calculations (n = 106). SVI quartiles based on overall percentile rank (RPL_THEMES).</w:t>
      </w:r>
    </w:p>
    <w:p>
      <w:r>
        <w:rPr>
          <w:rFonts w:ascii="Calibri" w:hAnsi="Calibri"/>
          <w:color w:val="555555"/>
          <w:sz w:val="16"/>
        </w:rPr>
        <w:t>Spearman Rank Correlation (rate vs SVI, n = 3,038): CMR ρ = 0.0079, p = 0.6646 | CCT ρ = 0.0201, p = 0.2681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