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Table 4: Comparison of SVI and ADI as Predictors of Cardiac Imaging Access</w:t>
      </w:r>
    </w:p>
    <w:p>
      <w:r>
        <w:t>This table compares the primary predictor (CDC Social Vulnerability Index, SVI) with the sensitivity analysis predictor (Area Deprivation Index, ADI) across all analytic outcomes. IRR = Incidence Rate Ratio per 10-percentile increase. CI = Confidence Interval. Negative Binomial regression with population offset (ln[adults 45+]).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SVI - CMR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ADI - CMR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SVI - CCT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ADI - CCT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Winner (CMR)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Winner (CCT)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IRR (per 10-pctl)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0.979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Neither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95% CI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0.952-1.033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0.900-0.976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0.989-1.053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0.949-1.010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 (p=0.002)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Neither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Spearman rho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Spearman 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Significant?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 detects signal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 (analytic)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AIC (NegBin)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1,838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 (lower)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ADI (lower)</w:t>
            </w:r>
          </w:p>
        </w:tc>
      </w:tr>
    </w:tbl>
    <w:p/>
    <w:p>
      <w:r>
        <w:t>Interpretation: ADI detects a statistically significant 6.3% decrease in CMR facility rates per 10-percentile increase in area deprivation (IRR = 0.937, p = 0.002). SVI shows no association for either modality. ADI also provides better model fit (lower AIC) and stronger non-parametric correlations. The ADI advantage is explained by its exclusive focus on economic deprivation, which is more directly relevant to healthcare infrastructure investment than the broader SVI composite.</w:t>
      </w:r>
    </w:p>
    <w:p>
      <w:r>
        <w:br w:type="page"/>
      </w:r>
    </w:p>
    <w:p>
      <w:pPr>
        <w:pStyle w:val="Heading1"/>
      </w:pPr>
      <w:r>
        <w:t>Table 5: Facility Rates by ADI Quintile</w:t>
      </w:r>
    </w:p>
    <w:p>
      <w:r>
        <w:t>Mean per-capita rates (per 100,000 adults aged 45 and older) stratified by Area Deprivation Index quintile. Q1 = least deprived (most affluent). Q5 = most deprived. SEM = Standard Error of the Mean. Kruskal-Wallis test for overall difference across quintiles.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ADI Quintile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CMR Mean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CMR SEM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CCT Mean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CCT SEM</w:t>
            </w:r>
          </w:p>
        </w:tc>
      </w:tr>
      <w:tr>
        <w:tc>
          <w:tcPr>
            <w:tcW w:type="dxa" w:w="1728"/>
          </w:tcPr>
          <w:p>
            <w:r>
              <w:t>Q1 (Least Deprived)</w:t>
            </w:r>
          </w:p>
        </w:tc>
        <w:tc>
          <w:tcPr>
            <w:tcW w:type="dxa" w:w="1728"/>
          </w:tcPr>
          <w:p>
            <w:r>
              <w:t>0.272</w:t>
            </w:r>
          </w:p>
        </w:tc>
        <w:tc>
          <w:tcPr>
            <w:tcW w:type="dxa" w:w="1728"/>
          </w:tcPr>
          <w:p>
            <w:r>
              <w:t>0.0361</w:t>
            </w:r>
          </w:p>
        </w:tc>
        <w:tc>
          <w:tcPr>
            <w:tcW w:type="dxa" w:w="1728"/>
          </w:tcPr>
          <w:p>
            <w:r>
              <w:t>0.602</w:t>
            </w:r>
          </w:p>
        </w:tc>
        <w:tc>
          <w:tcPr>
            <w:tcW w:type="dxa" w:w="1728"/>
          </w:tcPr>
          <w:p>
            <w:r>
              <w:t>0.0595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0.149</w:t>
            </w:r>
          </w:p>
        </w:tc>
        <w:tc>
          <w:tcPr>
            <w:tcW w:type="dxa" w:w="1728"/>
          </w:tcPr>
          <w:p>
            <w:r>
              <w:t>0.0253</w:t>
            </w:r>
          </w:p>
        </w:tc>
        <w:tc>
          <w:tcPr>
            <w:tcW w:type="dxa" w:w="1728"/>
          </w:tcPr>
          <w:p>
            <w:r>
              <w:t>0.403</w:t>
            </w:r>
          </w:p>
        </w:tc>
        <w:tc>
          <w:tcPr>
            <w:tcW w:type="dxa" w:w="1728"/>
          </w:tcPr>
          <w:p>
            <w:r>
              <w:t>0.0468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0.0305</w:t>
            </w:r>
          </w:p>
        </w:tc>
        <w:tc>
          <w:tcPr>
            <w:tcW w:type="dxa" w:w="1728"/>
          </w:tcPr>
          <w:p>
            <w:r>
              <w:t>0.567</w:t>
            </w:r>
          </w:p>
        </w:tc>
        <w:tc>
          <w:tcPr>
            <w:tcW w:type="dxa" w:w="1728"/>
          </w:tcPr>
          <w:p>
            <w:r>
              <w:t>0.0752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0.081</w:t>
            </w:r>
          </w:p>
        </w:tc>
        <w:tc>
          <w:tcPr>
            <w:tcW w:type="dxa" w:w="1728"/>
          </w:tcPr>
          <w:p>
            <w:r>
              <w:t>0.0181</w:t>
            </w:r>
          </w:p>
        </w:tc>
        <w:tc>
          <w:tcPr>
            <w:tcW w:type="dxa" w:w="1728"/>
          </w:tcPr>
          <w:p>
            <w:r>
              <w:t>0.597</w:t>
            </w:r>
          </w:p>
        </w:tc>
        <w:tc>
          <w:tcPr>
            <w:tcW w:type="dxa" w:w="1728"/>
          </w:tcPr>
          <w:p>
            <w:r>
              <w:t>0.0933</w:t>
            </w:r>
          </w:p>
        </w:tc>
      </w:tr>
      <w:tr>
        <w:tc>
          <w:tcPr>
            <w:tcW w:type="dxa" w:w="1728"/>
          </w:tcPr>
          <w:p>
            <w:r>
              <w:t>Q5 (Most Deprived)</w:t>
            </w:r>
          </w:p>
        </w:tc>
        <w:tc>
          <w:tcPr>
            <w:tcW w:type="dxa" w:w="1728"/>
          </w:tcPr>
          <w:p>
            <w:r>
              <w:t>0.062</w:t>
            </w:r>
          </w:p>
        </w:tc>
        <w:tc>
          <w:tcPr>
            <w:tcW w:type="dxa" w:w="1728"/>
          </w:tcPr>
          <w:p>
            <w:r>
              <w:t>0.0187</w:t>
            </w:r>
          </w:p>
        </w:tc>
        <w:tc>
          <w:tcPr>
            <w:tcW w:type="dxa" w:w="1728"/>
          </w:tcPr>
          <w:p>
            <w:r>
              <w:t>0.344</w:t>
            </w:r>
          </w:p>
        </w:tc>
        <w:tc>
          <w:tcPr>
            <w:tcW w:type="dxa" w:w="1728"/>
          </w:tcPr>
          <w:p>
            <w:r>
              <w:t>0.0979</w:t>
            </w:r>
          </w:p>
        </w:tc>
      </w:tr>
      <w:tr>
        <w:tc>
          <w:tcPr>
            <w:tcW w:type="dxa" w:w="1728"/>
          </w:tcPr>
          <w:p>
            <w:r>
              <w:t>Q1/Q5 Ratio</w:t>
            </w:r>
          </w:p>
        </w:tc>
        <w:tc>
          <w:tcPr>
            <w:tcW w:type="dxa" w:w="1728"/>
          </w:tcPr>
          <w:p>
            <w:r>
              <w:t>4.4x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1.8x</w:t>
            </w:r>
          </w:p>
        </w:tc>
        <w:tc>
          <w:tcPr>
            <w:tcW w:type="dxa" w:w="1728"/>
          </w:tcPr>
          <w:p>
            <w:r>
              <w:t>--</w:t>
            </w:r>
          </w:p>
        </w:tc>
      </w:tr>
      <w:tr>
        <w:tc>
          <w:tcPr>
            <w:tcW w:type="dxa" w:w="1728"/>
          </w:tcPr>
          <w:p>
            <w:r>
              <w:t>Kruskal-Wallis p</w:t>
            </w:r>
          </w:p>
        </w:tc>
        <w:tc>
          <w:tcPr>
            <w:tcW w:type="dxa" w:w="1728"/>
          </w:tcPr>
          <w:p>
            <w:r>
              <w:t>&lt; 0.0001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&lt; 0.0001</w:t>
            </w:r>
          </w:p>
        </w:tc>
        <w:tc>
          <w:tcPr>
            <w:tcW w:type="dxa" w:w="1728"/>
          </w:tcPr>
          <w:p>
            <w:r>
              <w:t>--</w:t>
            </w:r>
          </w:p>
        </w:tc>
      </w:tr>
    </w:tbl>
    <w:p/>
    <w:p>
      <w:r>
        <w:t>The monotonic decrease from Q1 to Q5 for CMR (4.5-fold disparity) demonstrates a dose-response relationship between area deprivation and cardiac MRI access. CCT shows a smaller gradient (1.6-fold) consistent with its broader geographic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