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/>
        <w:jc w:val="center"/>
      </w:pPr>
      <w:r>
        <w:rPr>
          <w:b/>
          <w:color w:val="1F4E79"/>
          <w:sz w:val="21"/>
          <w:caps w:val="true"/>
          <w:spacing w:val="60"/>
        </w:rPr>
        <w:t>Mayo Clinic   ·   IRB 26-008664</w:t>
      </w:r>
    </w:p>
    <w:p>
      <w:pPr>
        <w:spacing w:before="200" w:after="200" w:line="240" w:lineRule="auto"/>
        <w:jc w:val="center"/>
        <w:shd w:val="clear" w:color="auto" w:fill="1F4E79"/>
      </w:pPr>
      <w:r>
        <w:rPr>
          <w:b/>
          <w:color w:val="FFFFFF"/>
          <w:sz w:val="34"/>
        </w:rPr>
        <w:t>Attachment B.  Recruitment Flyer</w:t>
      </w:r>
    </w:p>
    <w:p>
      <w:pPr>
        <w:spacing w:before="160" w:after="40"/>
        <w:jc w:val="center"/>
      </w:pPr>
      <w:r>
        <w:rPr>
          <w:i/>
          <w:color w:val="5A636E"/>
          <w:sz w:val="20"/>
        </w:rPr>
        <w:t>Readability of Online Patient Education Materials for Pre-Procedure Cardiac CT, With an Artificial Intelligence Rewrite Arm and Lay Reader Assessment</w:t>
      </w:r>
    </w:p>
    <w:p>
      <w:pPr>
        <w:spacing w:before="0" w:after="240"/>
        <w:jc w:val="center"/>
      </w:pPr>
      <w:r>
        <w:rPr>
          <w:color w:val="5A636E"/>
          <w:sz w:val="19"/>
        </w:rPr>
        <w:t>Principal Investigator: Muhammad Naeem, MBBS, MD</w:t>
      </w:r>
    </w:p>
    <w:p>
      <w:pPr>
        <w:shd w:val="clear" w:color="auto" w:fill="EAF1F8"/>
        <w:pBdr>
          <w:left w:val="single" w:sz="24" w:space="10" w:color="1F4E79"/>
        </w:pBdr>
        <w:spacing w:before="120" w:after="200" w:line="269" w:lineRule="auto"/>
      </w:pPr>
      <w:r>
        <w:rPr>
          <w:color w:val="212A33"/>
          <w:sz w:val="21"/>
        </w:rPr>
        <w:t>Text for a posted flyer, volunteer list entry, or online notice. No individual will be approached directly by a study team member who holds authority over them.</w:t>
      </w:r>
    </w:p>
    <w:p>
      <w:pPr>
        <w:spacing w:before="160" w:after="160"/>
        <w:jc w:val="center"/>
      </w:pPr>
      <w:r>
        <w:rPr>
          <w:b/>
          <w:color w:val="1F4E79"/>
          <w:sz w:val="28"/>
        </w:rPr>
        <w:t>Can you help us make heart scan information easier to read?</w:t>
      </w:r>
    </w:p>
    <w:p>
      <w:r>
        <w:rPr>
          <w:i w:val="0"/>
        </w:rPr>
        <w:t>We are looking for three adult volunteers to read short passages about heart scans and tell us how clear they are.</w:t>
      </w:r>
    </w:p>
    <w:p>
      <w:pPr>
        <w:spacing w:before="160" w:after="60"/>
        <w:keepNext w:val="true"/>
        <w:keepLines w:val="true"/>
      </w:pPr>
      <w:r>
        <w:rPr>
          <w:b/>
          <w:color w:val="212A33"/>
          <w:sz w:val="21"/>
        </w:rPr>
        <w:t>You may be able to help if you:</w:t>
      </w:r>
    </w:p>
    <w:p>
      <w:pPr>
        <w:pStyle w:val="ListBullet"/>
        <w:spacing w:after="60" w:line="264" w:lineRule="auto"/>
      </w:pPr>
      <w:r>
        <w:t>Are 18 or older</w:t>
      </w:r>
    </w:p>
    <w:p>
      <w:pPr>
        <w:pStyle w:val="ListBullet"/>
        <w:spacing w:after="60" w:line="264" w:lineRule="auto"/>
      </w:pPr>
      <w:r>
        <w:t>Can read English</w:t>
      </w:r>
    </w:p>
    <w:p>
      <w:pPr>
        <w:pStyle w:val="ListBullet"/>
        <w:spacing w:after="60" w:line="264" w:lineRule="auto"/>
      </w:pPr>
      <w:r>
        <w:t>Do not work in health care and have no medical or nursing training</w:t>
      </w:r>
    </w:p>
    <w:p>
      <w:pPr>
        <w:spacing w:before="160" w:after="60"/>
        <w:keepNext w:val="true"/>
        <w:keepLines w:val="true"/>
      </w:pPr>
      <w:r>
        <w:rPr>
          <w:b/>
          <w:color w:val="212A33"/>
          <w:sz w:val="21"/>
        </w:rPr>
        <w:t>What is involved:</w:t>
      </w:r>
    </w:p>
    <w:p>
      <w:pPr>
        <w:pStyle w:val="ListBullet"/>
        <w:spacing w:after="60" w:line="264" w:lineRule="auto"/>
      </w:pPr>
      <w:r>
        <w:t>An anonymous online survey, done at home, at your own pace</w:t>
      </w:r>
    </w:p>
    <w:p>
      <w:pPr>
        <w:pStyle w:val="ListBullet"/>
        <w:spacing w:after="60" w:line="264" w:lineRule="auto"/>
      </w:pPr>
      <w:r>
        <w:t>About 45 to 60 minutes total</w:t>
      </w:r>
    </w:p>
    <w:p>
      <w:pPr>
        <w:pStyle w:val="ListBullet"/>
        <w:spacing w:after="60" w:line="264" w:lineRule="auto"/>
      </w:pPr>
      <w:r>
        <w:t>No name or contact details are collected</w:t>
      </w:r>
    </w:p>
    <w:p>
      <w:pPr>
        <w:pStyle w:val="ListBullet"/>
        <w:spacing w:after="60" w:line="264" w:lineRule="auto"/>
      </w:pPr>
      <w:r>
        <w:t>No medical exam, no scan, no procedure, no personal health questions</w:t>
      </w:r>
    </w:p>
    <w:p>
      <w:r>
        <w:rPr>
          <w:i w:val="0"/>
        </w:rPr>
        <w:t>You do not need to know anything about medicine. That is the point. We want to know whether ordinary readers can understand these materials.</w:t>
      </w:r>
    </w:p>
    <w:p>
      <w:r>
        <w:rPr>
          <w:i w:val="0"/>
        </w:rPr>
        <w:t>To take part, contact naeem.muhammad@mayo.edu</w:t>
      </w:r>
    </w:p>
    <w:p>
      <w:r>
        <w:rPr>
          <w:i w:val="0"/>
        </w:rPr>
        <w:t>Principal Investigator: Dr. Naeem. This study has been reviewed by the Institutional Review Board, IRB 26-008664.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224" w:right="1440" w:bottom="1152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C3D0E0"/>
      </w:pBdr>
    </w:pPr>
    <w:r/>
    <w:r>
      <w:rPr>
        <w:color w:val="8A939E"/>
        <w:sz w:val="16"/>
      </w:rPr>
      <w:t xml:space="preserve">Confidential — prepared for IRB review   ·   IRB 26-008664   ·   Page </w:t>
    </w:r>
    <w:r>
      <w:rPr>
        <w:b w:val="0"/>
        <w:color w:val="8A939E"/>
        <w:sz w:val="16"/>
      </w:rPr>
      <w:fldChar w:fldCharType="begin"/>
      <w:instrText xml:space="preserve">PAGE</w:instrText>
      <w:fldChar w:fldCharType="end"/>
    </w:r>
    <w:r>
      <w:rPr>
        <w:color w:val="8A939E"/>
        <w:sz w:val="16"/>
      </w:rPr>
      <w:t xml:space="preserve"> of </w:t>
    </w:r>
    <w:r>
      <w:rPr>
        <w:b w:val="0"/>
        <w:color w:val="8A939E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C3D0E0"/>
      </w:pBdr>
    </w:pPr>
    <w:r/>
    <w:r>
      <w:rPr>
        <w:color w:val="8A939E"/>
        <w:sz w:val="16"/>
      </w:rPr>
      <w:t xml:space="preserve">Confidential — prepared for IRB review   ·   IRB 26-008664   ·   Page </w:t>
    </w:r>
    <w:r>
      <w:rPr>
        <w:b w:val="0"/>
        <w:color w:val="8A939E"/>
        <w:sz w:val="16"/>
      </w:rPr>
      <w:fldChar w:fldCharType="begin"/>
      <w:instrText xml:space="preserve">PAGE</w:instrText>
      <w:fldChar w:fldCharType="end"/>
    </w:r>
    <w:r>
      <w:rPr>
        <w:color w:val="8A939E"/>
        <w:sz w:val="16"/>
      </w:rPr>
      <w:t xml:space="preserve"> of </w:t>
    </w:r>
    <w:r>
      <w:rPr>
        <w:b w:val="0"/>
        <w:color w:val="8A939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3D0E0"/>
      </w:pBdr>
    </w:pPr>
    <w:r/>
    <w:r>
      <w:rPr>
        <w:color w:val="8A939E"/>
        <w:sz w:val="16"/>
      </w:rPr>
      <w:t>Attachment B   ·   Readability of Patient Education for Cardiac 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