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/>
        <w:jc w:val="center"/>
      </w:pPr>
      <w:r>
        <w:rPr>
          <w:b/>
          <w:color w:val="1F4E79"/>
          <w:sz w:val="21"/>
          <w:caps w:val="true"/>
          <w:spacing w:val="60"/>
        </w:rPr>
        <w:t>Mayo Clinic   ·   IRB 26-008664</w:t>
      </w:r>
    </w:p>
    <w:p>
      <w:pPr>
        <w:spacing w:before="200" w:after="200" w:line="240" w:lineRule="auto"/>
        <w:jc w:val="center"/>
        <w:shd w:val="clear" w:color="auto" w:fill="1F4E79"/>
      </w:pPr>
      <w:r>
        <w:rPr>
          <w:b/>
          <w:color w:val="FFFFFF"/>
          <w:sz w:val="34"/>
        </w:rPr>
        <w:t>Attachment E.  Chatbot Prompt and Platform Log</w:t>
      </w:r>
    </w:p>
    <w:p>
      <w:pPr>
        <w:spacing w:before="160" w:after="40"/>
        <w:jc w:val="center"/>
      </w:pPr>
      <w:r>
        <w:rPr>
          <w:i/>
          <w:color w:val="5A636E"/>
          <w:sz w:val="20"/>
        </w:rPr>
        <w:t>Readability of Online Patient Education Materials for Pre-Procedure Cardiac CT, With an Artificial Intelligence Rewrite Arm and Lay Reader Assessment</w:t>
      </w:r>
    </w:p>
    <w:p>
      <w:pPr>
        <w:spacing w:before="0" w:after="240"/>
        <w:jc w:val="center"/>
      </w:pPr>
      <w:r>
        <w:rPr>
          <w:color w:val="5A636E"/>
          <w:sz w:val="19"/>
        </w:rPr>
        <w:t>Principal Investigator: Muhammad Naeem, MBBS, MD</w:t>
      </w:r>
    </w:p>
    <w:p>
      <w:r>
        <w:rPr>
          <w:i w:val="0"/>
        </w:rPr>
        <w:t>Fixed prompt, applied identically to every passage and every platform:</w:t>
      </w:r>
    </w:p>
    <w:p>
      <w:pPr>
        <w:shd w:val="clear" w:color="auto" w:fill="EAF1F8"/>
        <w:pBdr>
          <w:left w:val="single" w:sz="24" w:space="10" w:color="1F4E79"/>
        </w:pBdr>
        <w:spacing w:before="120" w:after="200" w:line="269" w:lineRule="auto"/>
      </w:pPr>
      <w:r>
        <w:rPr>
          <w:color w:val="212A33"/>
          <w:sz w:val="21"/>
        </w:rPr>
        <w:t>Rewrite the following patient education text at a sixth-grade reading level. Keep all medical facts accurate. Do not add new medical claims. Do not remove important safety or preparation information. Use plain words and short sentences.</w:t>
      </w:r>
    </w:p>
    <w:p>
      <w:pPr>
        <w:spacing w:before="160" w:after="60"/>
        <w:keepNext w:val="true"/>
        <w:keepLines w:val="true"/>
      </w:pPr>
      <w:r>
        <w:rPr>
          <w:b/>
          <w:color w:val="212A33"/>
          <w:sz w:val="21"/>
        </w:rPr>
        <w:t>Rules for running the prompt:</w:t>
      </w:r>
    </w:p>
    <w:p>
      <w:pPr>
        <w:pStyle w:val="ListBullet"/>
        <w:spacing w:after="60" w:line="264" w:lineRule="auto"/>
      </w:pPr>
      <w:r>
        <w:t>Start a new, empty conversation for every passage so that earlier passages cannot influence later output.</w:t>
      </w:r>
    </w:p>
    <w:p>
      <w:pPr>
        <w:pStyle w:val="ListBullet"/>
        <w:spacing w:after="60" w:line="264" w:lineRule="auto"/>
      </w:pPr>
      <w:r>
        <w:t>Do not follow up, do not re-prompt, and do not ask for a second attempt. The first output is the output that is scored.</w:t>
      </w:r>
    </w:p>
    <w:p>
      <w:pPr>
        <w:pStyle w:val="ListBullet"/>
        <w:spacing w:after="60" w:line="264" w:lineRule="auto"/>
      </w:pPr>
      <w:r>
        <w:t>Do not edit the output in any way before scoring.</w:t>
      </w:r>
    </w:p>
    <w:p>
      <w:pPr>
        <w:pStyle w:val="ListBullet"/>
        <w:spacing w:after="60" w:line="264" w:lineRule="auto"/>
      </w:pPr>
      <w:r>
        <w:t>Enter only publicly available web text. Never enter patient data or any identifiable information.</w:t>
      </w:r>
    </w:p>
    <w:p>
      <w:pPr>
        <w:spacing w:before="160" w:after="60"/>
        <w:keepNext w:val="true"/>
        <w:keepLines w:val="true"/>
      </w:pPr>
      <w:r>
        <w:rPr>
          <w:b/>
          <w:color w:val="212A33"/>
          <w:sz w:val="21"/>
        </w:rPr>
        <w:t>Platform log, completed for every run: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3D0E0"/>
          <w:left w:val="single" w:sz="4" w:space="0" w:color="C3D0E0"/>
          <w:bottom w:val="single" w:sz="4" w:space="0" w:color="C3D0E0"/>
          <w:right w:val="single" w:sz="4" w:space="0" w:color="C3D0E0"/>
          <w:insideH w:val="single" w:sz="4" w:space="0" w:color="C3D0E0"/>
          <w:insideV w:val="single" w:sz="4" w:space="0" w:color="C3D0E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312"/>
        <w:gridCol w:w="6048"/>
      </w:tblGrid>
      <w:tr>
        <w:trPr>
          <w:tblHeader w:val="true"/>
          <w:cantSplit w:val="true"/>
        </w:trPr>
        <w:tc>
          <w:tcPr>
            <w:tcW w:type="dxa" w:w="3312"/>
            <w:vAlign w:val="center"/>
            <w:shd w:val="clear" w:color="auto" w:fill="1F4E79"/>
          </w:tcPr>
          <w:p>
            <w:pPr>
              <w:spacing w:before="20" w:after="20"/>
              <w:keepNext w:val="true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048"/>
            <w:vAlign w:val="center"/>
            <w:shd w:val="clear" w:color="auto" w:fill="1F4E79"/>
          </w:tcPr>
          <w:p>
            <w:pPr>
              <w:spacing w:before="20" w:after="20"/>
              <w:keepNext w:val="true"/>
            </w:pPr>
            <w:r/>
            <w:r>
              <w:rPr>
                <w:b/>
                <w:color w:val="FFFFFF"/>
                <w:sz w:val="20"/>
              </w:rPr>
              <w:t>Example entry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 w:line="252" w:lineRule="auto"/>
              <w:keepNext w:val="true"/>
            </w:pPr>
            <w:r/>
            <w:r>
              <w:rPr>
                <w:b/>
                <w:color w:val="1F4E79"/>
                <w:sz w:val="20"/>
              </w:rPr>
              <w:t>Passage ID</w:t>
            </w:r>
          </w:p>
        </w:tc>
        <w:tc>
          <w:tcPr>
            <w:tcW w:type="dxa" w:w="6048"/>
            <w:vAlign w:val="center"/>
          </w:tcPr>
          <w:p>
            <w:pPr>
              <w:spacing w:before="40" w:after="40" w:line="252" w:lineRule="auto"/>
              <w:keepNext w:val="true"/>
            </w:pPr>
            <w:r/>
            <w:r>
              <w:rPr>
                <w:sz w:val="20"/>
              </w:rPr>
              <w:t>CCTA-07</w:t>
            </w:r>
          </w:p>
        </w:tc>
      </w:tr>
      <w:tr>
        <w:tc>
          <w:tcPr>
            <w:tcW w:type="dxa" w:w="3312"/>
            <w:shd w:val="clear" w:color="auto" w:fill="EEF3F9"/>
            <w:vAlign w:val="center"/>
          </w:tcPr>
          <w:p>
            <w:pPr>
              <w:spacing w:before="40" w:after="40" w:line="252" w:lineRule="auto"/>
              <w:keepNext w:val="true"/>
            </w:pPr>
            <w:r/>
            <w:r>
              <w:rPr>
                <w:b/>
                <w:color w:val="1F4E79"/>
                <w:sz w:val="20"/>
              </w:rPr>
              <w:t>Platform</w:t>
            </w:r>
          </w:p>
        </w:tc>
        <w:tc>
          <w:tcPr>
            <w:tcW w:type="dxa" w:w="6048"/>
            <w:shd w:val="clear" w:color="auto" w:fill="EEF3F9"/>
            <w:vAlign w:val="center"/>
          </w:tcPr>
          <w:p>
            <w:pPr>
              <w:spacing w:before="40" w:after="40" w:line="252" w:lineRule="auto"/>
              <w:keepNext w:val="true"/>
            </w:pPr>
            <w:r/>
            <w:r>
              <w:rPr>
                <w:sz w:val="20"/>
              </w:rPr>
              <w:t>Platform 1 / 2 / 3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 w:line="252" w:lineRule="auto"/>
              <w:keepNext w:val="true"/>
            </w:pPr>
            <w:r/>
            <w:r>
              <w:rPr>
                <w:b/>
                <w:color w:val="1F4E79"/>
                <w:sz w:val="20"/>
              </w:rPr>
              <w:t>Model name and version</w:t>
            </w:r>
          </w:p>
        </w:tc>
        <w:tc>
          <w:tcPr>
            <w:tcW w:type="dxa" w:w="6048"/>
            <w:vAlign w:val="center"/>
          </w:tcPr>
          <w:p>
            <w:pPr>
              <w:spacing w:before="40" w:after="40" w:line="252" w:lineRule="auto"/>
              <w:keepNext w:val="true"/>
            </w:pPr>
            <w:r/>
            <w:r>
              <w:rPr>
                <w:sz w:val="20"/>
              </w:rPr>
              <w:t>As displayed by the platform</w:t>
            </w:r>
          </w:p>
        </w:tc>
      </w:tr>
      <w:tr>
        <w:tc>
          <w:tcPr>
            <w:tcW w:type="dxa" w:w="3312"/>
            <w:shd w:val="clear" w:color="auto" w:fill="EEF3F9"/>
            <w:vAlign w:val="center"/>
          </w:tcPr>
          <w:p>
            <w:pPr>
              <w:spacing w:before="40" w:after="40" w:line="252" w:lineRule="auto"/>
              <w:keepNext w:val="true"/>
            </w:pPr>
            <w:r/>
            <w:r>
              <w:rPr>
                <w:b/>
                <w:color w:val="1F4E79"/>
                <w:sz w:val="20"/>
              </w:rPr>
              <w:t>Date and time of generation</w:t>
            </w:r>
          </w:p>
        </w:tc>
        <w:tc>
          <w:tcPr>
            <w:tcW w:type="dxa" w:w="6048"/>
            <w:shd w:val="clear" w:color="auto" w:fill="EEF3F9"/>
            <w:vAlign w:val="center"/>
          </w:tcPr>
          <w:p>
            <w:pPr>
              <w:spacing w:before="40" w:after="40" w:line="252" w:lineRule="auto"/>
              <w:keepNext w:val="true"/>
            </w:pPr>
            <w:r/>
            <w:r>
              <w:rPr>
                <w:sz w:val="20"/>
              </w:rPr>
              <w:t>Recorded for every run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 w:line="252" w:lineRule="auto"/>
              <w:keepNext w:val="true"/>
            </w:pPr>
            <w:r/>
            <w:r>
              <w:rPr>
                <w:b/>
                <w:color w:val="1F4E79"/>
                <w:sz w:val="20"/>
              </w:rPr>
              <w:t>Account type</w:t>
            </w:r>
          </w:p>
        </w:tc>
        <w:tc>
          <w:tcPr>
            <w:tcW w:type="dxa" w:w="6048"/>
            <w:vAlign w:val="center"/>
          </w:tcPr>
          <w:p>
            <w:pPr>
              <w:spacing w:before="40" w:after="40" w:line="252" w:lineRule="auto"/>
              <w:keepNext w:val="true"/>
            </w:pPr>
            <w:r/>
            <w:r>
              <w:rPr>
                <w:sz w:val="20"/>
              </w:rPr>
              <w:t>Free or paid tier</w:t>
            </w:r>
          </w:p>
        </w:tc>
      </w:tr>
      <w:tr>
        <w:tc>
          <w:tcPr>
            <w:tcW w:type="dxa" w:w="3312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b/>
                <w:color w:val="1F4E79"/>
                <w:sz w:val="20"/>
              </w:rPr>
              <w:t>Output word count</w:t>
            </w:r>
          </w:p>
        </w:tc>
        <w:tc>
          <w:tcPr>
            <w:tcW w:type="dxa" w:w="6048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Recorded automatically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224" w:right="1440" w:bottom="1152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C3D0E0"/>
      </w:pBdr>
    </w:pPr>
    <w:r/>
    <w:r>
      <w:rPr>
        <w:color w:val="8A939E"/>
        <w:sz w:val="16"/>
      </w:rPr>
      <w:t xml:space="preserve">Confidential — prepared for IRB review   ·   IRB 26-008664   ·   Page </w:t>
    </w:r>
    <w:r>
      <w:rPr>
        <w:b w:val="0"/>
        <w:color w:val="8A939E"/>
        <w:sz w:val="16"/>
      </w:rPr>
      <w:fldChar w:fldCharType="begin"/>
      <w:instrText xml:space="preserve">PAGE</w:instrText>
      <w:fldChar w:fldCharType="end"/>
    </w:r>
    <w:r>
      <w:rPr>
        <w:color w:val="8A939E"/>
        <w:sz w:val="16"/>
      </w:rPr>
      <w:t xml:space="preserve"> of </w:t>
    </w:r>
    <w:r>
      <w:rPr>
        <w:b w:val="0"/>
        <w:color w:val="8A939E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C3D0E0"/>
      </w:pBdr>
    </w:pPr>
    <w:r/>
    <w:r>
      <w:rPr>
        <w:color w:val="8A939E"/>
        <w:sz w:val="16"/>
      </w:rPr>
      <w:t xml:space="preserve">Confidential — prepared for IRB review   ·   IRB 26-008664   ·   Page </w:t>
    </w:r>
    <w:r>
      <w:rPr>
        <w:b w:val="0"/>
        <w:color w:val="8A939E"/>
        <w:sz w:val="16"/>
      </w:rPr>
      <w:fldChar w:fldCharType="begin"/>
      <w:instrText xml:space="preserve">PAGE</w:instrText>
      <w:fldChar w:fldCharType="end"/>
    </w:r>
    <w:r>
      <w:rPr>
        <w:color w:val="8A939E"/>
        <w:sz w:val="16"/>
      </w:rPr>
      <w:t xml:space="preserve"> of </w:t>
    </w:r>
    <w:r>
      <w:rPr>
        <w:b w:val="0"/>
        <w:color w:val="8A939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3D0E0"/>
      </w:pBdr>
    </w:pPr>
    <w:r/>
    <w:r>
      <w:rPr>
        <w:color w:val="8A939E"/>
        <w:sz w:val="16"/>
      </w:rPr>
      <w:t>Attachment E   ·   Readability of Patient Education for Cardiac 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