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jc w:val="center"/>
      </w:pPr>
      <w:r>
        <w:rPr>
          <w:b/>
          <w:color w:val="1F4E79"/>
          <w:sz w:val="21"/>
          <w:caps w:val="true"/>
          <w:spacing w:val="60"/>
        </w:rPr>
        <w:t>Mayo Clinic   ·   IRB 26-008664</w:t>
      </w:r>
    </w:p>
    <w:p>
      <w:pPr>
        <w:spacing w:before="200" w:after="200" w:line="240" w:lineRule="auto"/>
        <w:jc w:val="center"/>
        <w:shd w:val="clear" w:color="auto" w:fill="1F4E79"/>
      </w:pPr>
      <w:r>
        <w:rPr>
          <w:b/>
          <w:color w:val="FFFFFF"/>
          <w:sz w:val="34"/>
        </w:rPr>
        <w:t>Preparation Notes, Editorial Decisions, and Change Log</w:t>
      </w:r>
    </w:p>
    <w:p>
      <w:pPr>
        <w:spacing w:before="160" w:after="40"/>
        <w:jc w:val="center"/>
      </w:pPr>
      <w:r>
        <w:rPr>
          <w:i/>
          <w:color w:val="5A636E"/>
          <w:sz w:val="20"/>
        </w:rPr>
        <w:t>Readability of Online Patient Education Materials for Pre-Procedure Cardiac CT, With an Artificial Intelligence Rewrite Arm and Lay Reader Assessment</w:t>
      </w:r>
    </w:p>
    <w:p>
      <w:pPr>
        <w:spacing w:before="0" w:after="240"/>
        <w:jc w:val="center"/>
      </w:pPr>
      <w:r>
        <w:rPr>
          <w:color w:val="5A636E"/>
          <w:sz w:val="19"/>
        </w:rPr>
        <w:t>Principal Investigator: Muhammad Naeem, MBBS, MD</w:t>
      </w:r>
    </w:p>
    <w:p>
      <w:pPr>
        <w:shd w:val="clear" w:color="auto" w:fill="EAF1F8"/>
        <w:pBdr>
          <w:left w:val="single" w:sz="24" w:space="10" w:color="1F4E79"/>
        </w:pBdr>
        <w:spacing w:before="120" w:after="200" w:line="269" w:lineRule="auto"/>
      </w:pPr>
      <w:r>
        <w:rPr>
          <w:color w:val="212A33"/>
          <w:sz w:val="21"/>
        </w:rPr>
        <w:t>This note accompanies the seven standalone attachment documents (A–G) prepared for submission. It records the editorial corrections applied to those standalone files, the design decisions made, and the one item still requiring the study team. The two author-provided originals (the IRB application and the combined supporting-documents file) were left unchanged; the corrections below are reflected only in the standalone attachments.</w:t>
      </w:r>
    </w:p>
    <w:p>
      <w:pPr>
        <w:spacing w:before="240" w:after="100"/>
        <w:keepNext w:val="true"/>
        <w:keepLines w:val="true"/>
        <w:pBdr>
          <w:left w:val="single" w:sz="22" w:space="8" w:color="1F4E79"/>
        </w:pBdr>
      </w:pPr>
      <w:r>
        <w:rPr>
          <w:b/>
          <w:color w:val="1F4E79"/>
          <w:sz w:val="25"/>
        </w:rPr>
        <w:t>Corrections applied to the standalone attachments</w:t>
      </w:r>
    </w:p>
    <w:tbl>
      <w:tblPr>
        <w:tblW w:type="auto" w:w="0"/>
        <w:tblLayout w:type="fixed"/>
        <w:tblLook w:firstColumn="1" w:firstRow="1" w:lastColumn="0" w:lastRow="0" w:noHBand="0" w:noVBand="1" w:val="04A0"/>
        <w:tblLayout w:type="fixed"/>
        <w:tblBorders>
          <w:top w:val="single" w:sz="4" w:space="0" w:color="C3D0E0"/>
          <w:left w:val="single" w:sz="4" w:space="0" w:color="C3D0E0"/>
          <w:bottom w:val="single" w:sz="4" w:space="0" w:color="C3D0E0"/>
          <w:right w:val="single" w:sz="4" w:space="0" w:color="C3D0E0"/>
          <w:insideH w:val="single" w:sz="4" w:space="0" w:color="C3D0E0"/>
          <w:insideV w:val="single" w:sz="4" w:space="0" w:color="C3D0E0"/>
        </w:tblBorders>
        <w:tblCellMar>
          <w:top w:w="80" w:type="dxa"/>
          <w:bottom w:w="80" w:type="dxa"/>
          <w:left w:w="120" w:type="dxa"/>
          <w:right w:w="120" w:type="dxa"/>
        </w:tblCellMar>
      </w:tblPr>
      <w:tblGrid>
        <w:gridCol w:w="2736"/>
        <w:gridCol w:w="3312"/>
        <w:gridCol w:w="3312"/>
      </w:tblGrid>
      <w:tr>
        <w:trPr>
          <w:tblHeader w:val="true"/>
          <w:cantSplit w:val="true"/>
        </w:trPr>
        <w:tc>
          <w:tcPr>
            <w:tcW w:type="dxa" w:w="2736"/>
            <w:vAlign w:val="center"/>
            <w:shd w:val="clear" w:color="auto" w:fill="1F4E79"/>
          </w:tcPr>
          <w:p>
            <w:pPr>
              <w:spacing w:before="20" w:after="20"/>
              <w:keepNext w:val="true"/>
            </w:pPr>
            <w:r/>
            <w:r>
              <w:rPr>
                <w:b/>
                <w:color w:val="FFFFFF"/>
                <w:sz w:val="20"/>
              </w:rPr>
              <w:t>Location</w:t>
            </w:r>
          </w:p>
        </w:tc>
        <w:tc>
          <w:tcPr>
            <w:tcW w:type="dxa" w:w="3312"/>
            <w:vAlign w:val="center"/>
            <w:shd w:val="clear" w:color="auto" w:fill="1F4E79"/>
          </w:tcPr>
          <w:p>
            <w:pPr>
              <w:spacing w:before="20" w:after="20"/>
              <w:keepNext w:val="true"/>
            </w:pPr>
            <w:r/>
            <w:r>
              <w:rPr>
                <w:b/>
                <w:color w:val="FFFFFF"/>
                <w:sz w:val="20"/>
              </w:rPr>
              <w:t>Original draft</w:t>
            </w:r>
          </w:p>
        </w:tc>
        <w:tc>
          <w:tcPr>
            <w:tcW w:type="dxa" w:w="3312"/>
            <w:vAlign w:val="center"/>
            <w:shd w:val="clear" w:color="auto" w:fill="1F4E79"/>
          </w:tcPr>
          <w:p>
            <w:pPr>
              <w:spacing w:before="20" w:after="20"/>
              <w:keepNext w:val="true"/>
            </w:pPr>
            <w:r/>
            <w:r>
              <w:rPr>
                <w:b/>
                <w:color w:val="FFFFFF"/>
                <w:sz w:val="20"/>
              </w:rPr>
              <w:t>Applied in the standalone file</w:t>
            </w:r>
          </w:p>
        </w:tc>
      </w:tr>
      <w:tr>
        <w:tc>
          <w:tcPr>
            <w:tcW w:type="dxa" w:w="2736"/>
            <w:vAlign w:val="center"/>
          </w:tcPr>
          <w:p>
            <w:pPr>
              <w:spacing w:before="40" w:after="40" w:line="252" w:lineRule="auto"/>
              <w:keepNext w:val="true"/>
            </w:pPr>
            <w:r/>
            <w:r>
              <w:rPr>
                <w:b/>
                <w:color w:val="1F4E79"/>
                <w:sz w:val="20"/>
              </w:rPr>
              <w:t>Attachment A — “Payment” heading</w:t>
            </w:r>
          </w:p>
        </w:tc>
        <w:tc>
          <w:tcPr>
            <w:tcW w:type="dxa" w:w="3312"/>
            <w:vAlign w:val="center"/>
          </w:tcPr>
          <w:p>
            <w:pPr>
              <w:spacing w:before="40" w:after="40" w:line="252" w:lineRule="auto"/>
              <w:keepNext w:val="true"/>
            </w:pPr>
            <w:r/>
            <w:r>
              <w:rPr>
                <w:sz w:val="20"/>
              </w:rPr>
              <w:t>Read “Paymen” (missing the final letter).</w:t>
            </w:r>
          </w:p>
        </w:tc>
        <w:tc>
          <w:tcPr>
            <w:tcW w:type="dxa" w:w="3312"/>
            <w:vAlign w:val="center"/>
          </w:tcPr>
          <w:p>
            <w:pPr>
              <w:spacing w:before="40" w:after="40" w:line="252" w:lineRule="auto"/>
              <w:keepNext w:val="true"/>
            </w:pPr>
            <w:r/>
            <w:r>
              <w:rPr>
                <w:sz w:val="20"/>
              </w:rPr>
              <w:t>Corrected to “Payment”.</w:t>
            </w:r>
          </w:p>
        </w:tc>
      </w:tr>
      <w:tr>
        <w:tc>
          <w:tcPr>
            <w:tcW w:type="dxa" w:w="2736"/>
            <w:shd w:val="clear" w:color="auto" w:fill="EEF3F9"/>
            <w:vAlign w:val="center"/>
          </w:tcPr>
          <w:p>
            <w:pPr>
              <w:spacing w:before="40" w:after="40" w:line="252" w:lineRule="auto"/>
              <w:keepNext w:val="true"/>
            </w:pPr>
            <w:r/>
            <w:r>
              <w:rPr>
                <w:b/>
                <w:color w:val="1F4E79"/>
                <w:sz w:val="20"/>
              </w:rPr>
              <w:t>Attachment B — Recruitment flyer</w:t>
            </w:r>
          </w:p>
        </w:tc>
        <w:tc>
          <w:tcPr>
            <w:tcW w:type="dxa" w:w="3312"/>
            <w:shd w:val="clear" w:color="auto" w:fill="EEF3F9"/>
            <w:vAlign w:val="center"/>
          </w:tcPr>
          <w:p>
            <w:pPr>
              <w:spacing w:before="40" w:after="40" w:line="252" w:lineRule="auto"/>
              <w:keepNext w:val="true"/>
            </w:pPr>
            <w:r/>
            <w:r>
              <w:rPr>
                <w:sz w:val="20"/>
              </w:rPr>
              <w:t>Stated “About 30–45 minutes total”.</w:t>
            </w:r>
          </w:p>
        </w:tc>
        <w:tc>
          <w:tcPr>
            <w:tcW w:type="dxa" w:w="3312"/>
            <w:shd w:val="clear" w:color="auto" w:fill="EEF3F9"/>
            <w:vAlign w:val="center"/>
          </w:tcPr>
          <w:p>
            <w:pPr>
              <w:spacing w:before="40" w:after="40" w:line="252" w:lineRule="auto"/>
              <w:keepNext w:val="true"/>
            </w:pPr>
            <w:r/>
            <w:r>
              <w:rPr>
                <w:sz w:val="20"/>
              </w:rPr>
              <w:t>Changed to “About 45 to 60 minutes total”, matching the proposal and the information sheet so participant burden is not understated.</w:t>
            </w:r>
          </w:p>
        </w:tc>
      </w:tr>
      <w:tr>
        <w:tc>
          <w:tcPr>
            <w:tcW w:type="dxa" w:w="2736"/>
            <w:vAlign w:val="center"/>
          </w:tcPr>
          <w:p>
            <w:pPr>
              <w:spacing w:before="40" w:after="40" w:line="252" w:lineRule="auto"/>
            </w:pPr>
            <w:r/>
            <w:r>
              <w:rPr>
                <w:b/>
                <w:color w:val="1F4E79"/>
                <w:sz w:val="20"/>
              </w:rPr>
              <w:t>Attachment A — “Questions” section</w:t>
            </w:r>
          </w:p>
        </w:tc>
        <w:tc>
          <w:tcPr>
            <w:tcW w:type="dxa" w:w="3312"/>
            <w:vAlign w:val="center"/>
          </w:tcPr>
          <w:p>
            <w:pPr>
              <w:spacing w:before="40" w:after="40" w:line="252" w:lineRule="auto"/>
            </w:pPr>
            <w:r/>
            <w:r>
              <w:rPr>
                <w:sz w:val="20"/>
              </w:rPr>
              <w:t>Gave the principal investigator’s contact only.</w:t>
            </w:r>
          </w:p>
        </w:tc>
        <w:tc>
          <w:tcPr>
            <w:tcW w:type="dxa" w:w="3312"/>
            <w:vAlign w:val="center"/>
          </w:tcPr>
          <w:p>
            <w:pPr>
              <w:spacing w:before="40" w:after="40" w:line="252" w:lineRule="auto"/>
            </w:pPr>
            <w:r/>
            <w:r>
              <w:rPr>
                <w:sz w:val="20"/>
              </w:rPr>
              <w:t>Added a participant-rights line directing participants to the Mayo Clinic IRB (study number 26-008664), per section 6 of the proposal.</w:t>
            </w:r>
          </w:p>
        </w:tc>
      </w:tr>
    </w:tbl>
    <w:p>
      <w:pPr>
        <w:spacing w:before="240" w:after="100"/>
        <w:keepNext w:val="true"/>
        <w:keepLines w:val="true"/>
        <w:pBdr>
          <w:left w:val="single" w:sz="22" w:space="8" w:color="1F4E79"/>
        </w:pBdr>
      </w:pPr>
      <w:r>
        <w:rPr>
          <w:b/>
          <w:color w:val="1F4E79"/>
          <w:sz w:val="25"/>
        </w:rPr>
        <w:t>Design decisions confirmed</w:t>
      </w:r>
    </w:p>
    <w:p>
      <w:pPr>
        <w:pStyle w:val="ListBullet"/>
        <w:spacing w:after="60" w:line="264" w:lineRule="auto"/>
      </w:pPr>
      <w:r>
        <w:t>Lay reader ratings use three 1–5 scales — lay_r1 (understandability), lay_r2 (clarity of wording), and lay_r3 (confidence to act) — consistent with the protocol narrative. Fields lay_r4 and lay_r5 in the Attachment G schema remain reserved and are unused unless added by an approved amendment.</w:t>
      </w:r>
    </w:p>
    <w:p>
      <w:pPr>
        <w:pStyle w:val="ListBullet"/>
        <w:spacing w:after="60" w:line="264" w:lineRule="auto"/>
      </w:pPr>
      <w:r>
        <w:t>The expert rubric uses five 1–5 dimensions — expert_accuracy, expert_completeness, expert_added, expert_safety, and expert_overall — following the Attachment G data schema and expanding the three dimensions named in section 4.4 of the proposal. Every dimension is scored so that a higher number is better.</w:t>
      </w:r>
    </w:p>
    <w:p>
      <w:pPr>
        <w:spacing w:before="240" w:after="100"/>
        <w:keepNext w:val="true"/>
        <w:keepLines w:val="true"/>
        <w:pBdr>
          <w:left w:val="single" w:sz="22" w:space="8" w:color="1F4E79"/>
        </w:pBdr>
      </w:pPr>
      <w:r>
        <w:rPr>
          <w:b/>
          <w:color w:val="1F4E79"/>
          <w:sz w:val="25"/>
        </w:rPr>
        <w:t>Item still requiring the study team</w:t>
      </w:r>
    </w:p>
    <w:p>
      <w:pPr>
        <w:pStyle w:val="ListBullet"/>
        <w:spacing w:after="60" w:line="264" w:lineRule="auto"/>
      </w:pPr>
      <w:r>
        <w:t>Insert the actual Mayo Clinic IRB telephone number and email where a placeholder appears in Attachment A (“Questions”) and Attachment C (closing screen). This is the only value that could not be supplied here.</w:t>
      </w:r>
    </w:p>
    <w:sectPr w:rsidR="00FC693F" w:rsidRPr="0006063C" w:rsidSect="00034616">
      <w:headerReference w:type="default" r:id="rId9"/>
      <w:footerReference w:type="default" r:id="rId10"/>
      <w:footerReference w:type="first" r:id="rId11"/>
      <w:pgSz w:w="12240" w:h="15840"/>
      <w:pgMar w:top="1224" w:right="1440"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D0E0"/>
      </w:pBdr>
    </w:pPr>
    <w:r/>
    <w:r>
      <w:rPr>
        <w:color w:val="8A939E"/>
        <w:sz w:val="16"/>
      </w:rPr>
      <w:t xml:space="preserve">Confidential — prepared for IRB review   ·   IRB 26-008664   ·   Page </w:t>
    </w:r>
    <w:r>
      <w:rPr>
        <w:b w:val="0"/>
        <w:color w:val="8A939E"/>
        <w:sz w:val="16"/>
      </w:rPr>
      <w:fldChar w:fldCharType="begin"/>
      <w:instrText xml:space="preserve">PAGE</w:instrText>
      <w:fldChar w:fldCharType="end"/>
    </w:r>
    <w:r>
      <w:rPr>
        <w:color w:val="8A939E"/>
        <w:sz w:val="16"/>
      </w:rPr>
      <w:t xml:space="preserve"> of </w:t>
    </w:r>
    <w:r>
      <w:rPr>
        <w:b w:val="0"/>
        <w:color w:val="8A939E"/>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D0E0"/>
      </w:pBdr>
    </w:pPr>
    <w:r/>
    <w:r>
      <w:rPr>
        <w:color w:val="8A939E"/>
        <w:sz w:val="16"/>
      </w:rPr>
      <w:t xml:space="preserve">Confidential — prepared for IRB review   ·   IRB 26-008664   ·   Page </w:t>
    </w:r>
    <w:r>
      <w:rPr>
        <w:b w:val="0"/>
        <w:color w:val="8A939E"/>
        <w:sz w:val="16"/>
      </w:rPr>
      <w:fldChar w:fldCharType="begin"/>
      <w:instrText xml:space="preserve">PAGE</w:instrText>
      <w:fldChar w:fldCharType="end"/>
    </w:r>
    <w:r>
      <w:rPr>
        <w:color w:val="8A939E"/>
        <w:sz w:val="16"/>
      </w:rPr>
      <w:t xml:space="preserve"> of </w:t>
    </w:r>
    <w:r>
      <w:rPr>
        <w:b w:val="0"/>
        <w:color w:val="8A939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3D0E0"/>
      </w:pBdr>
    </w:pPr>
    <w:r/>
    <w:r>
      <w:rPr>
        <w:color w:val="8A939E"/>
        <w:sz w:val="16"/>
      </w:rPr>
      <w:t>Preparation notes   ·   Readability of Patient Education for Cardiac 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