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1"/>
          <w:caps w:val="true"/>
          <w:spacing w:val="60"/>
        </w:rPr>
        <w:t>Mayo Clinic  ·  IRB 26-008664</w:t>
      </w:r>
    </w:p>
    <w:p>
      <w:pPr>
        <w:jc w:val="center"/>
      </w:pPr>
      <w:r>
        <w:rPr>
          <w:b/>
          <w:color w:val="1A1A1A"/>
          <w:sz w:val="32"/>
        </w:rPr>
        <w:t>Attachment D. Expert Accuracy and Completeness Rubric</w:t>
      </w:r>
    </w:p>
    <w:p>
      <w:pPr>
        <w:jc w:val="center"/>
      </w:pPr>
      <w:r>
        <w:rPr>
          <w:i/>
          <w:color w:val="595959"/>
          <w:sz w:val="21"/>
        </w:rPr>
        <w:t>Readability of Online Patient Education Materials for Pre-Procedure Cardiac CT, With an Artificial Intelligence Rewrite Arm and Lay Reader Assessment</w:t>
      </w:r>
    </w:p>
    <w:p>
      <w:pPr>
        <w:spacing w:after="240"/>
        <w:jc w:val="center"/>
        <w:pBdr>
          <w:bottom w:val="single" w:sz="6" w:space="8" w:color="1F4E79"/>
        </w:pBdr>
      </w:pPr>
      <w:r>
        <w:rPr>
          <w:color w:val="595959"/>
          <w:sz w:val="21"/>
        </w:rPr>
        <w:t>Principal Investigator: Muhammad Naeem, MBBS, MD</w:t>
      </w:r>
    </w:p>
    <w:p>
      <w:r>
        <w:rPr>
          <w:b w:val="0"/>
          <w:i w:val="0"/>
        </w:rPr>
        <w:t>Completed by a subspecialty cardiothoracic radiologist. The reviewer sees the original passage and one rewritten passage side by side.</w:t>
      </w:r>
    </w:p>
    <w:p>
      <w:pPr>
        <w:pStyle w:val="Heading2"/>
      </w:pPr>
      <w:r>
        <w:rPr>
          <w:color w:val="1F4E79"/>
        </w:rPr>
        <w:t>Scoring instructions</w:t>
      </w:r>
    </w:p>
    <w:p>
      <w:r>
        <w:rPr>
          <w:b w:val="0"/>
          <w:i w:val="0"/>
        </w:rPr>
        <w:t>The reviewer is blinded to which chatbot produced each rewrite; rewrites are stripped of any model identifier and presented in shuffled order. For each rewrite the reviewer scores the five items below. Every item uses a 1 to 5 scale on which 5 is best. Scores are recorded in the master data file (Attachment G) as expert_accuracy, expert_completeness, expert_added, expert_safety, and expert_overall.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60" w:type="dxa"/>
          <w:bottom w:w="60" w:type="dxa"/>
          <w:left w:w="108" w:type="dxa"/>
          <w:right w:w="108" w:type="dxa"/>
        </w:tblCellMar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Item (data field)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What it measures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Score 1 (worst)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Score 3 (middle)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Score 5 (best)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</w:rPr>
            </w:r>
            <w:r>
              <w:t>Accuracy (expert_accuracy)</w:t>
            </w:r>
          </w:p>
        </w:tc>
        <w:tc>
          <w:tcPr>
            <w:tcW w:type="dxa" w:w="1872"/>
            <w:vAlign w:val="center"/>
          </w:tcPr>
          <w:p>
            <w:r/>
            <w:r>
              <w:t>Factual correctness of the rewrite compared with the original passage.</w:t>
            </w:r>
          </w:p>
        </w:tc>
        <w:tc>
          <w:tcPr>
            <w:tcW w:type="dxa" w:w="1872"/>
            <w:vAlign w:val="center"/>
          </w:tcPr>
          <w:p>
            <w:r/>
            <w:r>
              <w:t>Contains one or more serious factual errors.</w:t>
            </w:r>
          </w:p>
        </w:tc>
        <w:tc>
          <w:tcPr>
            <w:tcW w:type="dxa" w:w="1872"/>
            <w:vAlign w:val="center"/>
          </w:tcPr>
          <w:p>
            <w:r/>
            <w:r>
              <w:t>A minor inaccuracy that would be unlikely to harm a patient.</w:t>
            </w:r>
          </w:p>
        </w:tc>
        <w:tc>
          <w:tcPr>
            <w:tcW w:type="dxa" w:w="1872"/>
            <w:vAlign w:val="center"/>
          </w:tcPr>
          <w:p>
            <w:r/>
            <w:r>
              <w:t>Fully accurate; no factual errors.</w:t>
            </w:r>
          </w:p>
        </w:tc>
      </w:tr>
      <w:tr>
        <w:tc>
          <w:tcPr>
            <w:tcW w:type="dxa" w:w="1872"/>
            <w:shd w:val="clear" w:color="auto" w:fill="EAF1F8"/>
            <w:vAlign w:val="center"/>
          </w:tcPr>
          <w:p>
            <w:r>
              <w:rPr>
                <w:b/>
              </w:rPr>
            </w:r>
            <w:r>
              <w:t>Completeness (expert_completeness)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Whether important information from the original is retained.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Important information is missing.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Some non-essential detail is lost, but the key points are retained.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All important information is retained.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</w:rPr>
            </w:r>
            <w:r>
              <w:t>Added or unsupported content (expert_added)</w:t>
            </w:r>
          </w:p>
        </w:tc>
        <w:tc>
          <w:tcPr>
            <w:tcW w:type="dxa" w:w="1872"/>
            <w:vAlign w:val="center"/>
          </w:tcPr>
          <w:p>
            <w:r/>
            <w:r>
              <w:t>Whether the rewrite introduces claims not supported by the original.</w:t>
            </w:r>
          </w:p>
        </w:tc>
        <w:tc>
          <w:tcPr>
            <w:tcW w:type="dxa" w:w="1872"/>
            <w:vAlign w:val="center"/>
          </w:tcPr>
          <w:p>
            <w:r/>
            <w:r>
              <w:t>Adds one or more unsupported or invented medical claims.</w:t>
            </w:r>
          </w:p>
        </w:tc>
        <w:tc>
          <w:tcPr>
            <w:tcW w:type="dxa" w:w="1872"/>
            <w:vAlign w:val="center"/>
          </w:tcPr>
          <w:p>
            <w:r/>
            <w:r>
              <w:t>Adds minor wording not in the original, but nothing misleading.</w:t>
            </w:r>
          </w:p>
        </w:tc>
        <w:tc>
          <w:tcPr>
            <w:tcW w:type="dxa" w:w="1872"/>
            <w:vAlign w:val="center"/>
          </w:tcPr>
          <w:p>
            <w:r/>
            <w:r>
              <w:t>Adds nothing that is not supported by the original.</w:t>
            </w:r>
          </w:p>
        </w:tc>
      </w:tr>
      <w:tr>
        <w:tc>
          <w:tcPr>
            <w:tcW w:type="dxa" w:w="1872"/>
            <w:shd w:val="clear" w:color="auto" w:fill="EAF1F8"/>
            <w:vAlign w:val="center"/>
          </w:tcPr>
          <w:p>
            <w:r>
              <w:rPr>
                <w:b/>
              </w:rPr>
            </w:r>
            <w:r>
              <w:t>Safety and preparation information (expert_safety)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Whether safety, risk, and preparation instructions are preserved and correct.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A safety or preparation instruction is lost, made wrong, or made unsafe.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Safety information is present but less clear than in the original.</w:t>
            </w:r>
          </w:p>
        </w:tc>
        <w:tc>
          <w:tcPr>
            <w:tcW w:type="dxa" w:w="1872"/>
            <w:shd w:val="clear" w:color="auto" w:fill="EAF1F8"/>
            <w:vAlign w:val="center"/>
          </w:tcPr>
          <w:p>
            <w:r/>
            <w:r>
              <w:t>All safety and preparation information is preserved and correct.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</w:rPr>
            </w:r>
            <w:r>
              <w:t>Overall suitability (expert_overall)</w:t>
            </w:r>
          </w:p>
        </w:tc>
        <w:tc>
          <w:tcPr>
            <w:tcW w:type="dxa" w:w="1872"/>
            <w:vAlign w:val="center"/>
          </w:tcPr>
          <w:p>
            <w:r/>
            <w:r>
              <w:t>Whether the rewrite could be given to a patient as written.</w:t>
            </w:r>
          </w:p>
        </w:tc>
        <w:tc>
          <w:tcPr>
            <w:tcW w:type="dxa" w:w="1872"/>
            <w:vAlign w:val="center"/>
          </w:tcPr>
          <w:p>
            <w:r/>
            <w:r>
              <w:t>Not suitable; could mislead a patient.</w:t>
            </w:r>
          </w:p>
        </w:tc>
        <w:tc>
          <w:tcPr>
            <w:tcW w:type="dxa" w:w="1872"/>
            <w:vAlign w:val="center"/>
          </w:tcPr>
          <w:p>
            <w:r/>
            <w:r>
              <w:t>Usable only after minor edits.</w:t>
            </w:r>
          </w:p>
        </w:tc>
        <w:tc>
          <w:tcPr>
            <w:tcW w:type="dxa" w:w="1872"/>
            <w:vAlign w:val="center"/>
          </w:tcPr>
          <w:p>
            <w:r/>
            <w:r>
              <w:t>Suitable to give to a patient as written.</w:t>
            </w:r>
          </w:p>
        </w:tc>
      </w:tr>
    </w:tbl>
    <w:p>
      <w:r>
        <w:rPr>
          <w:b w:val="0"/>
          <w:i w:val="0"/>
        </w:rPr>
        <w:t>Direction of scoring. For every item a higher score is better, including expert_added, where a score of 5 means no unsupported content was added. If a downstream analysis instead reports added content as a count on which a higher number is worse, expert_added is reverse-scored for that analysis and the direction is stated explicitly in the analysis code.</w:t>
      </w:r>
    </w:p>
    <w:p>
      <w:pPr>
        <w:pStyle w:val="Heading2"/>
      </w:pPr>
      <w:r>
        <w:rPr>
          <w:color w:val="1F4E79"/>
        </w:rPr>
        <w:t>Free-text field</w:t>
      </w:r>
    </w:p>
    <w:p>
      <w:r>
        <w:rPr>
          <w:b w:val="0"/>
          <w:i w:val="0"/>
        </w:rPr>
        <w:t>List any specific factual error, omission, or added claim, quoting the sentence at issue. This list becomes a results table in the manuscript.</w:t>
      </w:r>
    </w:p>
    <w:p>
      <w:pPr>
        <w:pStyle w:val="Heading2"/>
      </w:pPr>
      <w:r>
        <w:rPr>
          <w:color w:val="1F4E79"/>
        </w:rPr>
        <w:t>Second reader</w:t>
      </w:r>
    </w:p>
    <w:p>
      <w:r>
        <w:rPr>
          <w:b w:val="0"/>
          <w:i w:val="0"/>
        </w:rPr>
        <w:t>If a second subspecialty reader is available, a subset of at least 20 percent of rewrites will be double-scored and agreement reported.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