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1"/>
        </w:rPr>
        <w:t>MAYO CLINIC  ·  IRB 26-008664</w:t>
      </w:r>
    </w:p>
    <w:p>
      <w:pPr>
        <w:jc w:val="center"/>
      </w:pPr>
      <w:r>
        <w:rPr>
          <w:b/>
          <w:color w:val="1A1A1A"/>
          <w:sz w:val="32"/>
        </w:rPr>
        <w:t>Recommended Corrections to Existing IRB Attachments</w:t>
      </w:r>
    </w:p>
    <w:p>
      <w:pPr>
        <w:spacing w:after="240"/>
        <w:jc w:val="center"/>
        <w:pBdr>
          <w:bottom w:val="single" w:sz="6" w:space="8" w:color="1F4E79"/>
        </w:pBdr>
      </w:pPr>
      <w:r>
        <w:rPr>
          <w:i/>
          <w:color w:val="595959"/>
          <w:sz w:val="21"/>
        </w:rPr>
        <w:t>Advisory memo — no changes have been made to the existing files</w:t>
      </w:r>
    </w:p>
    <w:p>
      <w:r>
        <w:rPr>
          <w:b w:val="0"/>
          <w:i w:val="0"/>
        </w:rPr>
        <w:t>The two required instruments (Attachment C, the Lay Reader Survey Instrument, and Attachment D, the Expert Accuracy and Completeness Rubric) are provided as separate standalone files. During their preparation, three minor inconsistencies were noted in the existing attachments. They are listed here for the study team to apply; the existing files have been left unchanged.</w:t>
      </w:r>
    </w:p>
    <w:tbl>
      <w:tblPr>
        <w:tblW w:type="auto" w:w="0"/>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W w:w="5000" w:type="pct"/>
      </w:tblPr>
      <w:tblGrid>
        <w:gridCol w:w="3120"/>
        <w:gridCol w:w="3120"/>
        <w:gridCol w:w="3120"/>
      </w:tblGrid>
      <w:tr>
        <w:tc>
          <w:tcPr>
            <w:tcW w:type="dxa" w:w="3120"/>
            <w:shd w:val="clear" w:color="auto" w:fill="1F4E79"/>
            <w:vAlign w:val="center"/>
          </w:tcPr>
          <w:p>
            <w:r>
              <w:rPr>
                <w:b/>
                <w:color w:val="FFFFFF"/>
                <w:sz w:val="21"/>
              </w:rPr>
            </w:r>
            <w:r>
              <w:rPr>
                <w:b/>
                <w:color w:val="FFFFFF"/>
                <w:sz w:val="21"/>
              </w:rPr>
              <w:t>Location</w:t>
            </w:r>
          </w:p>
        </w:tc>
        <w:tc>
          <w:tcPr>
            <w:tcW w:type="dxa" w:w="3120"/>
            <w:shd w:val="clear" w:color="auto" w:fill="1F4E79"/>
            <w:vAlign w:val="center"/>
          </w:tcPr>
          <w:p>
            <w:r>
              <w:rPr>
                <w:b/>
                <w:color w:val="FFFFFF"/>
                <w:sz w:val="21"/>
              </w:rPr>
            </w:r>
            <w:r>
              <w:rPr>
                <w:b/>
                <w:color w:val="FFFFFF"/>
                <w:sz w:val="21"/>
              </w:rPr>
              <w:t>Issue</w:t>
            </w:r>
          </w:p>
        </w:tc>
        <w:tc>
          <w:tcPr>
            <w:tcW w:type="dxa" w:w="3120"/>
            <w:shd w:val="clear" w:color="auto" w:fill="1F4E79"/>
            <w:vAlign w:val="center"/>
          </w:tcPr>
          <w:p>
            <w:r>
              <w:rPr>
                <w:b/>
                <w:color w:val="FFFFFF"/>
                <w:sz w:val="21"/>
              </w:rPr>
            </w:r>
            <w:r>
              <w:rPr>
                <w:b/>
                <w:color w:val="FFFFFF"/>
                <w:sz w:val="21"/>
              </w:rPr>
              <w:t>Recommended correction</w:t>
            </w:r>
          </w:p>
        </w:tc>
      </w:tr>
      <w:tr>
        <w:tc>
          <w:tcPr>
            <w:tcW w:type="dxa" w:w="3120"/>
          </w:tcPr>
          <w:p>
            <w:r/>
            <w:r>
              <w:t>Attachment A, "Payment" heading</w:t>
            </w:r>
          </w:p>
        </w:tc>
        <w:tc>
          <w:tcPr>
            <w:tcW w:type="dxa" w:w="3120"/>
          </w:tcPr>
          <w:p>
            <w:r/>
            <w:r>
              <w:t>The heading reads "Paymen" (missing the final letter).</w:t>
            </w:r>
          </w:p>
        </w:tc>
        <w:tc>
          <w:tcPr>
            <w:tcW w:type="dxa" w:w="3120"/>
          </w:tcPr>
          <w:p>
            <w:r/>
            <w:r>
              <w:t>Change to "Payment".</w:t>
            </w:r>
          </w:p>
        </w:tc>
      </w:tr>
      <w:tr>
        <w:tc>
          <w:tcPr>
            <w:tcW w:type="dxa" w:w="3120"/>
            <w:shd w:val="clear" w:color="auto" w:fill="EAF1F8"/>
          </w:tcPr>
          <w:p>
            <w:r/>
            <w:r>
              <w:t>Attachment B, Recruitment Flyer</w:t>
            </w:r>
          </w:p>
        </w:tc>
        <w:tc>
          <w:tcPr>
            <w:tcW w:type="dxa" w:w="3120"/>
            <w:shd w:val="clear" w:color="auto" w:fill="EAF1F8"/>
          </w:tcPr>
          <w:p>
            <w:r/>
            <w:r>
              <w:t>States "About 30-45 minutes total", whereas the proposal and the information sheet both state 45 to 60 minutes. Recruitment materials should not understate participant burden.</w:t>
            </w:r>
          </w:p>
        </w:tc>
        <w:tc>
          <w:tcPr>
            <w:tcW w:type="dxa" w:w="3120"/>
            <w:shd w:val="clear" w:color="auto" w:fill="EAF1F8"/>
          </w:tcPr>
          <w:p>
            <w:r/>
            <w:r>
              <w:t>Change to "About 45 to 60 minutes total" to match the proposal and information sheet.</w:t>
            </w:r>
          </w:p>
        </w:tc>
      </w:tr>
      <w:tr>
        <w:tc>
          <w:tcPr>
            <w:tcW w:type="dxa" w:w="3120"/>
          </w:tcPr>
          <w:p>
            <w:r/>
            <w:r>
              <w:t>Attachment A, "Questions" section</w:t>
            </w:r>
          </w:p>
        </w:tc>
        <w:tc>
          <w:tcPr>
            <w:tcW w:type="dxa" w:w="3120"/>
          </w:tcPr>
          <w:p>
            <w:r/>
            <w:r>
              <w:t>Lists only the principal investigator’s contact. Section 6 of the proposal requires that participants also be given the IRB contact for questions about their rights.</w:t>
            </w:r>
          </w:p>
        </w:tc>
        <w:tc>
          <w:tcPr>
            <w:tcW w:type="dxa" w:w="3120"/>
          </w:tcPr>
          <w:p>
            <w:r/>
            <w:r>
              <w:t>Add a line: contact the Mayo Clinic IRB (study number 26-008664) at [IRB telephone and email] for questions about participant rights.</w:t>
            </w:r>
          </w:p>
        </w:tc>
      </w:tr>
    </w:tbl>
    <w:p/>
    <w:p>
      <w:r>
        <w:rPr>
          <w:b/>
          <w:i w:val="0"/>
        </w:rPr>
        <w:t>Open items for the principal investigator</w:t>
      </w:r>
    </w:p>
    <w:p>
      <w:pPr>
        <w:pStyle w:val="ListBullet"/>
      </w:pPr>
      <w:r>
        <w:t>Insert the actual Mayo Clinic IRB telephone number and email in Attachment C (closing screen) and, if adopted, in the Attachment A correction above. A placeholder is currently shown.</w:t>
      </w:r>
    </w:p>
    <w:p>
      <w:pPr>
        <w:pStyle w:val="ListBullet"/>
      </w:pPr>
      <w:r>
        <w:t>Confirm that the lay reader instrument uses three rating scales (lay_r1–lay_r3); fields lay_r4 and lay_r5 in the Attachment G data schema remain reserved.</w:t>
      </w:r>
    </w:p>
    <w:p>
      <w:pPr>
        <w:pStyle w:val="ListBullet"/>
      </w:pPr>
      <w:r>
        <w:t>Confirm the five-dimension expert rubric (accuracy, completeness, added content, safety, overall), which follows the Attachment G data schema and expands the three dimensions named in section 4.4 of the proposal.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