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jc w:val="center"/>
      </w:pPr>
      <w:r>
        <w:rPr>
          <w:b/>
          <w:color w:val="1F4E79"/>
          <w:sz w:val="21"/>
          <w:caps w:val="true"/>
          <w:spacing w:val="60"/>
        </w:rPr>
        <w:t>Mayo Clinic   ·   IRB 26-008664</w:t>
      </w:r>
    </w:p>
    <w:p>
      <w:pPr>
        <w:spacing w:before="200" w:after="200" w:line="240" w:lineRule="auto"/>
        <w:jc w:val="center"/>
        <w:shd w:val="clear" w:color="auto" w:fill="1F4E79"/>
      </w:pPr>
      <w:r>
        <w:rPr>
          <w:b/>
          <w:color w:val="FFFFFF"/>
          <w:sz w:val="34"/>
        </w:rPr>
        <w:t>Attachment F.  Website Search and Page Capture Protocol</w:t>
      </w:r>
    </w:p>
    <w:p>
      <w:pPr>
        <w:spacing w:before="160" w:after="40"/>
        <w:jc w:val="center"/>
      </w:pPr>
      <w:r>
        <w:rPr>
          <w:i/>
          <w:color w:val="5A636E"/>
          <w:sz w:val="20"/>
        </w:rPr>
        <w:t>Readability of Online Patient Education Materials for Pre-Procedure Cardiac CT, With an Artificial Intelligence Rewrite Arm and Lay Reader Assessment</w:t>
      </w:r>
    </w:p>
    <w:p>
      <w:pPr>
        <w:spacing w:before="0" w:after="240"/>
        <w:jc w:val="center"/>
      </w:pPr>
      <w:r>
        <w:rPr>
          <w:color w:val="5A636E"/>
          <w:sz w:val="19"/>
        </w:rPr>
        <w:t>Principal Investigator: Muhammad Naeem, MBBS, MD</w:t>
      </w:r>
    </w:p>
    <w:p>
      <w:pPr>
        <w:shd w:val="clear" w:color="auto" w:fill="EAF1F8"/>
        <w:pBdr>
          <w:left w:val="single" w:sz="24" w:space="10" w:color="1F4E79"/>
        </w:pBdr>
        <w:spacing w:before="120" w:after="200" w:line="269" w:lineRule="auto"/>
      </w:pPr>
      <w:r>
        <w:rPr>
          <w:color w:val="212A33"/>
          <w:sz w:val="21"/>
        </w:rPr>
        <w:t>This protocol is fixed before any data collection begins, so that the sample cannot be selected after seeing the results.</w:t>
      </w:r>
    </w:p>
    <w:p>
      <w:pPr>
        <w:spacing w:before="240" w:after="100"/>
        <w:keepNext w:val="true"/>
        <w:keepLines w:val="true"/>
        <w:pBdr>
          <w:left w:val="single" w:sz="22" w:space="8" w:color="1F4E79"/>
        </w:pBdr>
      </w:pPr>
      <w:r>
        <w:rPr>
          <w:b/>
          <w:color w:val="1F4E79"/>
          <w:sz w:val="25"/>
        </w:rPr>
        <w:t>Search conditions</w:t>
      </w:r>
    </w:p>
    <w:p>
      <w:pPr>
        <w:pStyle w:val="ListBullet"/>
        <w:spacing w:after="60" w:line="264" w:lineRule="auto"/>
      </w:pPr>
      <w:r>
        <w:t>One computer, one browser, private or incognito mode, signed out of all accounts.</w:t>
      </w:r>
    </w:p>
    <w:p>
      <w:pPr>
        <w:pStyle w:val="ListBullet"/>
        <w:spacing w:after="60" w:line="264" w:lineRule="auto"/>
      </w:pPr>
      <w:r>
        <w:t>Browser language set to English. Location setting held constant and recorded.</w:t>
      </w:r>
    </w:p>
    <w:p>
      <w:pPr>
        <w:pStyle w:val="ListBullet"/>
        <w:spacing w:after="60" w:line="264" w:lineRule="auto"/>
      </w:pPr>
      <w:r>
        <w:t>All searches completed within a single defined window, for example one calendar week, with the dates recorded.</w:t>
      </w:r>
    </w:p>
    <w:p>
      <w:pPr>
        <w:spacing w:before="240" w:after="100"/>
        <w:keepNext w:val="true"/>
        <w:keepLines w:val="true"/>
        <w:pBdr>
          <w:left w:val="single" w:sz="22" w:space="8" w:color="1F4E79"/>
        </w:pBdr>
      </w:pPr>
      <w:r>
        <w:rPr>
          <w:b/>
          <w:color w:val="1F4E79"/>
          <w:sz w:val="25"/>
        </w:rPr>
        <w:t>Search terms</w:t>
      </w:r>
    </w:p>
    <w:p>
      <w:pPr>
        <w:pStyle w:val="ListBullet"/>
        <w:spacing w:after="60" w:line="264" w:lineRule="auto"/>
      </w:pPr>
      <w:r>
        <w:t>Pre-TAVR CT: “CT scan before TAVR”, “TAVR CT scan patient information”, “heart valve replacement CT scan”</w:t>
      </w:r>
    </w:p>
    <w:p>
      <w:pPr>
        <w:pStyle w:val="ListBullet"/>
        <w:spacing w:after="60" w:line="264" w:lineRule="auto"/>
      </w:pPr>
      <w:r>
        <w:t>Coronary CTA: “coronary CT angiogram”, “heart artery CT scan patient information”, “CCTA what to expect”</w:t>
      </w:r>
    </w:p>
    <w:p>
      <w:pPr>
        <w:pStyle w:val="ListBullet"/>
        <w:spacing w:after="60" w:line="264" w:lineRule="auto"/>
      </w:pPr>
      <w:r>
        <w:t>LAAO CT: “Watchman CT scan”, “left atrial appendage closure CT patient information”</w:t>
      </w:r>
    </w:p>
    <w:p>
      <w:pPr>
        <w:spacing w:before="240" w:after="100"/>
        <w:keepNext w:val="true"/>
        <w:keepLines w:val="true"/>
        <w:pBdr>
          <w:left w:val="single" w:sz="22" w:space="8" w:color="1F4E79"/>
        </w:pBdr>
      </w:pPr>
      <w:r>
        <w:rPr>
          <w:b/>
          <w:color w:val="1F4E79"/>
          <w:sz w:val="25"/>
        </w:rPr>
        <w:t>Site list, fixed in advance</w:t>
      </w:r>
    </w:p>
    <w:p>
      <w:r>
        <w:rPr>
          <w:i w:val="0"/>
        </w:rPr>
        <w:t>RadiologyInfo.org, American Heart Association, American College of Cardiology CardioSmart, British Heart Foundation, Mayo Clinic, Cleveland Clinic, and any additional hospital or society patient page appearing within the first two pages of results. The final list is locked before capture and is not changed afterward.</w:t>
      </w:r>
    </w:p>
    <w:p>
      <w:pPr>
        <w:spacing w:before="240" w:after="100"/>
        <w:keepNext w:val="true"/>
        <w:keepLines w:val="true"/>
        <w:pBdr>
          <w:left w:val="single" w:sz="22" w:space="8" w:color="1F4E79"/>
        </w:pBdr>
      </w:pPr>
      <w:r>
        <w:rPr>
          <w:b/>
          <w:color w:val="1F4E79"/>
          <w:sz w:val="25"/>
        </w:rPr>
        <w:t>Inclusion criteria</w:t>
      </w:r>
    </w:p>
    <w:p>
      <w:pPr>
        <w:pStyle w:val="ListBullet"/>
        <w:spacing w:after="60" w:line="264" w:lineRule="auto"/>
      </w:pPr>
      <w:r>
        <w:t>English language.</w:t>
      </w:r>
    </w:p>
    <w:p>
      <w:pPr>
        <w:pStyle w:val="ListBullet"/>
        <w:spacing w:after="60" w:line="264" w:lineRule="auto"/>
      </w:pPr>
      <w:r>
        <w:t>Written for patients or the general public.</w:t>
      </w:r>
    </w:p>
    <w:p>
      <w:pPr>
        <w:pStyle w:val="ListBullet"/>
        <w:spacing w:after="60" w:line="264" w:lineRule="auto"/>
      </w:pPr>
      <w:r>
        <w:t>Substantially about one of the three named procedures.</w:t>
      </w:r>
    </w:p>
    <w:p>
      <w:pPr>
        <w:spacing w:before="240" w:after="100"/>
        <w:keepNext w:val="true"/>
        <w:keepLines w:val="true"/>
        <w:pBdr>
          <w:left w:val="single" w:sz="22" w:space="8" w:color="1F4E79"/>
        </w:pBdr>
      </w:pPr>
      <w:r>
        <w:rPr>
          <w:b/>
          <w:color w:val="1F4E79"/>
          <w:sz w:val="25"/>
        </w:rPr>
        <w:t>Exclusion criteria</w:t>
      </w:r>
    </w:p>
    <w:p>
      <w:pPr>
        <w:pStyle w:val="ListBullet"/>
        <w:spacing w:after="60" w:line="264" w:lineRule="auto"/>
      </w:pPr>
      <w:r>
        <w:t>Written for clinicians, or clearly technical or professional in intent.</w:t>
      </w:r>
    </w:p>
    <w:p>
      <w:pPr>
        <w:pStyle w:val="ListBullet"/>
        <w:spacing w:after="60" w:line="264" w:lineRule="auto"/>
      </w:pPr>
      <w:r>
        <w:t>Video-only or image-only pages with little body text.</w:t>
      </w:r>
    </w:p>
    <w:p>
      <w:pPr>
        <w:pStyle w:val="ListBullet"/>
        <w:spacing w:after="60" w:line="264" w:lineRule="auto"/>
      </w:pPr>
      <w:r>
        <w:t>Pages requiring a login or payment.</w:t>
      </w:r>
    </w:p>
    <w:p>
      <w:pPr>
        <w:pStyle w:val="ListBullet"/>
        <w:spacing w:after="60" w:line="264" w:lineRule="auto"/>
      </w:pPr>
      <w:r>
        <w:t>Duplicate content already captured from the same site.</w:t>
      </w:r>
    </w:p>
    <w:p>
      <w:pPr>
        <w:pStyle w:val="ListBullet"/>
        <w:spacing w:after="60" w:line="264" w:lineRule="auto"/>
      </w:pPr>
      <w:r>
        <w:t>Pages shorter than 100 words, which are too short for stable readability scoring.</w:t>
      </w:r>
    </w:p>
    <w:p>
      <w:pPr>
        <w:spacing w:before="240" w:after="100"/>
        <w:keepNext w:val="true"/>
        <w:keepLines w:val="true"/>
        <w:pBdr>
          <w:left w:val="single" w:sz="22" w:space="8" w:color="1F4E79"/>
        </w:pBdr>
      </w:pPr>
      <w:r>
        <w:rPr>
          <w:b/>
          <w:color w:val="1F4E79"/>
          <w:sz w:val="25"/>
        </w:rPr>
        <w:t>Text cleaning rules, applied identically to every page</w:t>
      </w:r>
    </w:p>
    <w:p>
      <w:pPr>
        <w:pStyle w:val="ListBullet"/>
        <w:spacing w:after="60" w:line="264" w:lineRule="auto"/>
      </w:pPr>
      <w:r>
        <w:t>Capture the page as plain text on the day it is found, and record the date.</w:t>
      </w:r>
    </w:p>
    <w:p>
      <w:pPr>
        <w:pStyle w:val="ListBullet"/>
        <w:spacing w:after="60" w:line="264" w:lineRule="auto"/>
      </w:pPr>
      <w:r>
        <w:t>Remove navigation menus, site headers and footers, advertisements, and cookie notices.</w:t>
      </w:r>
    </w:p>
    <w:p>
      <w:pPr>
        <w:pStyle w:val="ListBullet"/>
        <w:spacing w:after="60" w:line="264" w:lineRule="auto"/>
      </w:pPr>
      <w:r>
        <w:t>Remove image captions, figure labels, and alt text.</w:t>
      </w:r>
    </w:p>
    <w:p>
      <w:pPr>
        <w:pStyle w:val="ListBullet"/>
        <w:spacing w:after="60" w:line="264" w:lineRule="auto"/>
      </w:pPr>
      <w:r>
        <w:t>Remove reference lists, author bylines, and review dates.</w:t>
      </w:r>
    </w:p>
    <w:p>
      <w:pPr>
        <w:pStyle w:val="ListBullet"/>
        <w:spacing w:after="60" w:line="264" w:lineRule="auto"/>
      </w:pPr>
      <w:r>
        <w:t>Remove contact details, appointment booking text, and donation appeals.</w:t>
      </w:r>
    </w:p>
    <w:p>
      <w:pPr>
        <w:pStyle w:val="ListBullet"/>
        <w:spacing w:after="60" w:line="264" w:lineRule="auto"/>
      </w:pPr>
      <w:r>
        <w:t>Keep headings and body text that a patient would read as content.</w:t>
      </w:r>
    </w:p>
    <w:p>
      <w:pPr>
        <w:pStyle w:val="ListBullet"/>
        <w:spacing w:after="60" w:line="264" w:lineRule="auto"/>
      </w:pPr>
      <w:r>
        <w:t>Save the cleaned text as a plain text file named by passage ID.</w:t>
      </w:r>
    </w:p>
    <w:sectPr w:rsidR="00FC693F" w:rsidRPr="0006063C" w:rsidSect="00034616">
      <w:headerReference w:type="default" r:id="rId9"/>
      <w:footerReference w:type="default" r:id="rId10"/>
      <w:footerReference w:type="first" r:id="rId11"/>
      <w:pgSz w:w="12240" w:h="15840"/>
      <w:pgMar w:top="1224" w:right="1440"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D0E0"/>
      </w:pBdr>
    </w:pPr>
    <w:r/>
    <w:r>
      <w:rPr>
        <w:color w:val="8A939E"/>
        <w:sz w:val="16"/>
      </w:rPr>
      <w:t xml:space="preserve">Confidential — prepared for IRB review   ·   IRB 26-008664   ·   Page </w:t>
    </w:r>
    <w:r>
      <w:rPr>
        <w:b w:val="0"/>
        <w:color w:val="8A939E"/>
        <w:sz w:val="16"/>
      </w:rPr>
      <w:fldChar w:fldCharType="begin"/>
      <w:instrText xml:space="preserve">PAGE</w:instrText>
      <w:fldChar w:fldCharType="end"/>
    </w:r>
    <w:r>
      <w:rPr>
        <w:color w:val="8A939E"/>
        <w:sz w:val="16"/>
      </w:rPr>
      <w:t xml:space="preserve"> of </w:t>
    </w:r>
    <w:r>
      <w:rPr>
        <w:b w:val="0"/>
        <w:color w:val="8A939E"/>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D0E0"/>
      </w:pBdr>
    </w:pPr>
    <w:r/>
    <w:r>
      <w:rPr>
        <w:color w:val="8A939E"/>
        <w:sz w:val="16"/>
      </w:rPr>
      <w:t xml:space="preserve">Confidential — prepared for IRB review   ·   IRB 26-008664   ·   Page </w:t>
    </w:r>
    <w:r>
      <w:rPr>
        <w:b w:val="0"/>
        <w:color w:val="8A939E"/>
        <w:sz w:val="16"/>
      </w:rPr>
      <w:fldChar w:fldCharType="begin"/>
      <w:instrText xml:space="preserve">PAGE</w:instrText>
      <w:fldChar w:fldCharType="end"/>
    </w:r>
    <w:r>
      <w:rPr>
        <w:color w:val="8A939E"/>
        <w:sz w:val="16"/>
      </w:rPr>
      <w:t xml:space="preserve"> of </w:t>
    </w:r>
    <w:r>
      <w:rPr>
        <w:b w:val="0"/>
        <w:color w:val="8A939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3D0E0"/>
      </w:pBdr>
    </w:pPr>
    <w:r/>
    <w:r>
      <w:rPr>
        <w:color w:val="8A939E"/>
        <w:sz w:val="16"/>
      </w:rPr>
      <w:t>Attachment F   ·   Readability of Patient Education for Cardiac 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