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120"/>
        <w:jc w:val="center"/>
      </w:pPr>
      <w:r>
        <w:rPr>
          <w:b/>
          <w:color w:val="1F4E79"/>
          <w:sz w:val="21"/>
          <w:caps w:val="true"/>
          <w:spacing w:val="60"/>
        </w:rPr>
        <w:t>Mayo Clinic   ·   IRB 26-008664</w:t>
      </w:r>
    </w:p>
    <w:p>
      <w:pPr>
        <w:spacing w:before="200" w:after="200" w:line="240" w:lineRule="auto"/>
        <w:jc w:val="center"/>
        <w:shd w:val="clear" w:color="auto" w:fill="1F4E79"/>
      </w:pPr>
      <w:r>
        <w:rPr>
          <w:b/>
          <w:color w:val="FFFFFF"/>
          <w:sz w:val="34"/>
        </w:rPr>
        <w:t>Attachment G.  Data Collection Variables</w:t>
      </w:r>
    </w:p>
    <w:p>
      <w:pPr>
        <w:spacing w:before="160" w:after="40"/>
        <w:jc w:val="center"/>
      </w:pPr>
      <w:r>
        <w:rPr>
          <w:i/>
          <w:color w:val="5A636E"/>
          <w:sz w:val="20"/>
        </w:rPr>
        <w:t>Readability of Online Patient Education Materials for Pre-Procedure Cardiac CT, With an Artificial Intelligence Rewrite Arm and Lay Reader Assessment</w:t>
      </w:r>
    </w:p>
    <w:p>
      <w:pPr>
        <w:spacing w:before="0" w:after="240"/>
        <w:jc w:val="center"/>
      </w:pPr>
      <w:r>
        <w:rPr>
          <w:color w:val="5A636E"/>
          <w:sz w:val="19"/>
        </w:rPr>
        <w:t>Principal Investigator: Muhammad Naeem, MBBS, MD</w:t>
      </w:r>
    </w:p>
    <w:p>
      <w:pPr>
        <w:shd w:val="clear" w:color="auto" w:fill="EAF1F8"/>
        <w:pBdr>
          <w:left w:val="single" w:sz="24" w:space="10" w:color="1F4E79"/>
        </w:pBdr>
        <w:spacing w:before="120" w:after="200" w:line="269" w:lineRule="auto"/>
      </w:pPr>
      <w:r>
        <w:rPr>
          <w:color w:val="212A33"/>
          <w:sz w:val="21"/>
        </w:rPr>
        <w:t>One row per passage in the master spreadsheet.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C3D0E0"/>
          <w:left w:val="single" w:sz="4" w:space="0" w:color="C3D0E0"/>
          <w:bottom w:val="single" w:sz="4" w:space="0" w:color="C3D0E0"/>
          <w:right w:val="single" w:sz="4" w:space="0" w:color="C3D0E0"/>
          <w:insideH w:val="single" w:sz="4" w:space="0" w:color="C3D0E0"/>
          <w:insideV w:val="single" w:sz="4" w:space="0" w:color="C3D0E0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3600"/>
        <w:gridCol w:w="5760"/>
      </w:tblGrid>
      <w:tr>
        <w:trPr>
          <w:tblHeader w:val="true"/>
          <w:cantSplit w:val="true"/>
        </w:trPr>
        <w:tc>
          <w:tcPr>
            <w:tcW w:type="dxa" w:w="3600"/>
            <w:vAlign w:val="center"/>
            <w:shd w:val="clear" w:color="auto" w:fill="1F4E79"/>
          </w:tcPr>
          <w:p>
            <w:pPr>
              <w:spacing w:before="20" w:after="20"/>
            </w:pPr>
            <w:r/>
            <w:r>
              <w:rPr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5760"/>
            <w:vAlign w:val="center"/>
            <w:shd w:val="clear" w:color="auto" w:fill="1F4E79"/>
          </w:tcPr>
          <w:p>
            <w:pPr>
              <w:spacing w:before="20" w:after="20"/>
            </w:pPr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1F4E79"/>
                <w:sz w:val="18"/>
              </w:rPr>
              <w:t>passage_id</w:t>
            </w:r>
          </w:p>
        </w:tc>
        <w:tc>
          <w:tcPr>
            <w:tcW w:type="dxa" w:w="5760"/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sz w:val="20"/>
              </w:rPr>
              <w:t>Unique identifier, for example TAVR-03</w:t>
            </w:r>
          </w:p>
        </w:tc>
      </w:tr>
      <w:tr>
        <w:tc>
          <w:tcPr>
            <w:tcW w:type="dxa" w:w="3600"/>
            <w:shd w:val="clear" w:color="auto" w:fill="EEF3F9"/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1F4E79"/>
                <w:sz w:val="18"/>
              </w:rPr>
              <w:t>procedure</w:t>
            </w:r>
          </w:p>
        </w:tc>
        <w:tc>
          <w:tcPr>
            <w:tcW w:type="dxa" w:w="5760"/>
            <w:shd w:val="clear" w:color="auto" w:fill="EEF3F9"/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sz w:val="20"/>
              </w:rPr>
              <w:t>Pre-TAVR CT, coronary CTA, or LAAO CT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1F4E79"/>
                <w:sz w:val="18"/>
              </w:rPr>
              <w:t>source_site</w:t>
            </w:r>
          </w:p>
        </w:tc>
        <w:tc>
          <w:tcPr>
            <w:tcW w:type="dxa" w:w="5760"/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sz w:val="20"/>
              </w:rPr>
              <w:t>Name of the website</w:t>
            </w:r>
          </w:p>
        </w:tc>
      </w:tr>
      <w:tr>
        <w:tc>
          <w:tcPr>
            <w:tcW w:type="dxa" w:w="3600"/>
            <w:shd w:val="clear" w:color="auto" w:fill="EEF3F9"/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1F4E79"/>
                <w:sz w:val="18"/>
              </w:rPr>
              <w:t>url</w:t>
            </w:r>
          </w:p>
        </w:tc>
        <w:tc>
          <w:tcPr>
            <w:tcW w:type="dxa" w:w="5760"/>
            <w:shd w:val="clear" w:color="auto" w:fill="EEF3F9"/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sz w:val="20"/>
              </w:rPr>
              <w:t>Full web address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1F4E79"/>
                <w:sz w:val="18"/>
              </w:rPr>
              <w:t>date_captured</w:t>
            </w:r>
          </w:p>
        </w:tc>
        <w:tc>
          <w:tcPr>
            <w:tcW w:type="dxa" w:w="5760"/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sz w:val="20"/>
              </w:rPr>
              <w:t>Date the text was saved</w:t>
            </w:r>
          </w:p>
        </w:tc>
      </w:tr>
      <w:tr>
        <w:tc>
          <w:tcPr>
            <w:tcW w:type="dxa" w:w="3600"/>
            <w:shd w:val="clear" w:color="auto" w:fill="EEF3F9"/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1F4E79"/>
                <w:sz w:val="18"/>
              </w:rPr>
              <w:t>version</w:t>
            </w:r>
          </w:p>
        </w:tc>
        <w:tc>
          <w:tcPr>
            <w:tcW w:type="dxa" w:w="5760"/>
            <w:shd w:val="clear" w:color="auto" w:fill="EEF3F9"/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sz w:val="20"/>
              </w:rPr>
              <w:t>Original, or Platform 1, 2, or 3 rewrite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1F4E79"/>
                <w:sz w:val="18"/>
              </w:rPr>
              <w:t>word_count</w:t>
            </w:r>
          </w:p>
        </w:tc>
        <w:tc>
          <w:tcPr>
            <w:tcW w:type="dxa" w:w="5760"/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sz w:val="20"/>
              </w:rPr>
              <w:t>Words in the cleaned text</w:t>
            </w:r>
          </w:p>
        </w:tc>
      </w:tr>
      <w:tr>
        <w:tc>
          <w:tcPr>
            <w:tcW w:type="dxa" w:w="3600"/>
            <w:shd w:val="clear" w:color="auto" w:fill="EEF3F9"/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1F4E79"/>
                <w:sz w:val="18"/>
              </w:rPr>
              <w:t>sentence_count</w:t>
            </w:r>
          </w:p>
        </w:tc>
        <w:tc>
          <w:tcPr>
            <w:tcW w:type="dxa" w:w="5760"/>
            <w:shd w:val="clear" w:color="auto" w:fill="EEF3F9"/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sz w:val="20"/>
              </w:rPr>
              <w:t>Sentences in the cleaned text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1F4E79"/>
                <w:sz w:val="18"/>
              </w:rPr>
              <w:t>avg_words_per_sentence</w:t>
            </w:r>
          </w:p>
        </w:tc>
        <w:tc>
          <w:tcPr>
            <w:tcW w:type="dxa" w:w="5760"/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sz w:val="20"/>
              </w:rPr>
              <w:t>Computed automatically</w:t>
            </w:r>
          </w:p>
        </w:tc>
      </w:tr>
      <w:tr>
        <w:tc>
          <w:tcPr>
            <w:tcW w:type="dxa" w:w="3600"/>
            <w:shd w:val="clear" w:color="auto" w:fill="EEF3F9"/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1F4E79"/>
                <w:sz w:val="18"/>
              </w:rPr>
              <w:t>avg_syllables_per_word</w:t>
            </w:r>
          </w:p>
        </w:tc>
        <w:tc>
          <w:tcPr>
            <w:tcW w:type="dxa" w:w="5760"/>
            <w:shd w:val="clear" w:color="auto" w:fill="EEF3F9"/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sz w:val="20"/>
              </w:rPr>
              <w:t>Computed automatically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1F4E79"/>
                <w:sz w:val="18"/>
              </w:rPr>
              <w:t>fkre, fkgl, gfi, smog, cli, ari</w:t>
            </w:r>
          </w:p>
        </w:tc>
        <w:tc>
          <w:tcPr>
            <w:tcW w:type="dxa" w:w="5760"/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sz w:val="20"/>
              </w:rPr>
              <w:t>The six readability scores</w:t>
            </w:r>
          </w:p>
        </w:tc>
      </w:tr>
      <w:tr>
        <w:tc>
          <w:tcPr>
            <w:tcW w:type="dxa" w:w="3600"/>
            <w:shd w:val="clear" w:color="auto" w:fill="EEF3F9"/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1F4E79"/>
                <w:sz w:val="18"/>
              </w:rPr>
              <w:t>expert_accuracy, expert_completeness, expert_added, expert_safety, expert_overall</w:t>
            </w:r>
          </w:p>
        </w:tc>
        <w:tc>
          <w:tcPr>
            <w:tcW w:type="dxa" w:w="5760"/>
            <w:shd w:val="clear" w:color="auto" w:fill="EEF3F9"/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sz w:val="20"/>
              </w:rPr>
              <w:t>Rubric scores, rewrites only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1F4E79"/>
                <w:sz w:val="18"/>
              </w:rPr>
              <w:t>lay_r1 through lay_r5, per reader</w:t>
            </w:r>
          </w:p>
        </w:tc>
        <w:tc>
          <w:tcPr>
            <w:tcW w:type="dxa" w:w="5760"/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sz w:val="20"/>
              </w:rPr>
              <w:t>Lay reader ratings</w:t>
            </w:r>
          </w:p>
        </w:tc>
      </w:tr>
      <w:tr>
        <w:tc>
          <w:tcPr>
            <w:tcW w:type="dxa" w:w="3600"/>
            <w:shd w:val="clear" w:color="auto" w:fill="EEF3F9"/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1F4E79"/>
                <w:sz w:val="18"/>
              </w:rPr>
              <w:t>lay_comprehension_correct, per reader</w:t>
            </w:r>
          </w:p>
        </w:tc>
        <w:tc>
          <w:tcPr>
            <w:tcW w:type="dxa" w:w="5760"/>
            <w:shd w:val="clear" w:color="auto" w:fill="EEF3F9"/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sz w:val="20"/>
              </w:rPr>
              <w:t>Number of comprehension questions answered correctly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footerReference w:type="first" r:id="rId11"/>
      <w:pgSz w:w="12240" w:h="15840"/>
      <w:pgMar w:top="1224" w:right="1440" w:bottom="1152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6" w:color="C3D0E0"/>
      </w:pBdr>
    </w:pPr>
    <w:r/>
    <w:r>
      <w:rPr>
        <w:color w:val="8A939E"/>
        <w:sz w:val="16"/>
      </w:rPr>
      <w:t xml:space="preserve">Confidential — prepared for IRB review   ·   IRB 26-008664   ·   Page </w:t>
    </w:r>
    <w:r>
      <w:rPr>
        <w:b w:val="0"/>
        <w:color w:val="8A939E"/>
        <w:sz w:val="16"/>
      </w:rPr>
      <w:fldChar w:fldCharType="begin"/>
      <w:instrText xml:space="preserve">PAGE</w:instrText>
      <w:fldChar w:fldCharType="end"/>
    </w:r>
    <w:r>
      <w:rPr>
        <w:color w:val="8A939E"/>
        <w:sz w:val="16"/>
      </w:rPr>
      <w:t xml:space="preserve"> of </w:t>
    </w:r>
    <w:r>
      <w:rPr>
        <w:b w:val="0"/>
        <w:color w:val="8A939E"/>
        <w:sz w:val="16"/>
      </w:rPr>
      <w:fldChar w:fldCharType="begin"/>
      <w:instrText xml:space="preserve">NUMPAGES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6" w:color="C3D0E0"/>
      </w:pBdr>
    </w:pPr>
    <w:r/>
    <w:r>
      <w:rPr>
        <w:color w:val="8A939E"/>
        <w:sz w:val="16"/>
      </w:rPr>
      <w:t xml:space="preserve">Confidential — prepared for IRB review   ·   IRB 26-008664   ·   Page </w:t>
    </w:r>
    <w:r>
      <w:rPr>
        <w:b w:val="0"/>
        <w:color w:val="8A939E"/>
        <w:sz w:val="16"/>
      </w:rPr>
      <w:fldChar w:fldCharType="begin"/>
      <w:instrText xml:space="preserve">PAGE</w:instrText>
      <w:fldChar w:fldCharType="end"/>
    </w:r>
    <w:r>
      <w:rPr>
        <w:color w:val="8A939E"/>
        <w:sz w:val="16"/>
      </w:rPr>
      <w:t xml:space="preserve"> of </w:t>
    </w:r>
    <w:r>
      <w:rPr>
        <w:b w:val="0"/>
        <w:color w:val="8A939E"/>
        <w:sz w:val="16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4" w:color="C3D0E0"/>
      </w:pBdr>
    </w:pPr>
    <w:r/>
    <w:r>
      <w:rPr>
        <w:color w:val="8A939E"/>
        <w:sz w:val="16"/>
      </w:rPr>
      <w:t>Attachment G   ·   Readability of Patient Education for Cardiac 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