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753F" w14:textId="1C401D75" w:rsidR="0087418C" w:rsidRDefault="00F32897" w:rsidP="005C4649">
      <w:pPr>
        <w:pStyle w:val="Title"/>
      </w:pPr>
      <w:r>
        <w:t xml:space="preserve">ReadMe: </w:t>
      </w:r>
      <w:r w:rsidR="005C4649">
        <w:t xml:space="preserve">Power BI query templates for Microsoft </w:t>
      </w:r>
      <w:r w:rsidR="00773FA1">
        <w:t>Advanced</w:t>
      </w:r>
      <w:r w:rsidR="005C4649">
        <w:t xml:space="preserve"> Call Quality Dashboard (CQD)</w:t>
      </w:r>
    </w:p>
    <w:p w14:paraId="633CE926" w14:textId="228E0EA6" w:rsidR="005C4649" w:rsidRPr="00F32897" w:rsidRDefault="005C4649" w:rsidP="005C4649">
      <w:pPr>
        <w:rPr>
          <w:i/>
          <w:iCs/>
        </w:rPr>
      </w:pPr>
      <w:r w:rsidRPr="00F32897">
        <w:rPr>
          <w:i/>
          <w:iCs/>
        </w:rPr>
        <w:t xml:space="preserve">Last release: </w:t>
      </w:r>
      <w:r w:rsidR="009C06DB">
        <w:rPr>
          <w:i/>
          <w:iCs/>
        </w:rPr>
        <w:t xml:space="preserve">March </w:t>
      </w:r>
      <w:r w:rsidR="00B6226D">
        <w:rPr>
          <w:i/>
          <w:iCs/>
        </w:rPr>
        <w:t>7, 2020</w:t>
      </w:r>
    </w:p>
    <w:p w14:paraId="37BCDE7C" w14:textId="3CFFDD5C" w:rsidR="005C4649" w:rsidRDefault="005C4649" w:rsidP="005C4649">
      <w:r>
        <w:t>For CQD reports in Microsoft Teams, if you’d rather use Power BI to query and report your data, download our CQD Power BI templates. When you open the templates in Power BI, you’ll be prompted to sign in with your CQD admin credentials. You can customize these query templates and distribute them to anyone in your organization who has a Power BI license and CQD admin permissions.</w:t>
      </w:r>
    </w:p>
    <w:p w14:paraId="586D0774" w14:textId="364C056E" w:rsidR="00C83990" w:rsidRDefault="00F32897" w:rsidP="005C4649">
      <w:r>
        <w:t>Before you can use these PBI</w:t>
      </w:r>
      <w:r w:rsidR="00FE7504">
        <w:t>T</w:t>
      </w:r>
      <w:r>
        <w:t xml:space="preserve"> files, you’ll need to install the Power BI Connector for Microsoft</w:t>
      </w:r>
      <w:r w:rsidR="000B18AB">
        <w:t xml:space="preserve"> Advanced </w:t>
      </w:r>
      <w:r>
        <w:t>CQD (</w:t>
      </w:r>
      <w:proofErr w:type="spellStart"/>
      <w:r>
        <w:t>MicrosoftCallQuality.pqx</w:t>
      </w:r>
      <w:proofErr w:type="spellEnd"/>
      <w:r>
        <w:t>). See the “Power BI Connector for Microsoft Teams CQD.docx” file to learn how to install this PQX file.</w:t>
      </w:r>
    </w:p>
    <w:p w14:paraId="27FC78A8" w14:textId="0B656545" w:rsidR="005C4649" w:rsidRDefault="005C4649" w:rsidP="005C4649">
      <w:pPr>
        <w:pStyle w:val="Heading2"/>
      </w:pPr>
      <w:r>
        <w:t>Power BI query templates for CQD</w:t>
      </w:r>
    </w:p>
    <w:tbl>
      <w:tblPr>
        <w:tblStyle w:val="TableGrid"/>
        <w:tblW w:w="0" w:type="auto"/>
        <w:tblLook w:val="04A0" w:firstRow="1" w:lastRow="0" w:firstColumn="1" w:lastColumn="0" w:noHBand="0" w:noVBand="1"/>
      </w:tblPr>
      <w:tblGrid>
        <w:gridCol w:w="4405"/>
        <w:gridCol w:w="4945"/>
      </w:tblGrid>
      <w:tr w:rsidR="005C4649" w14:paraId="051934A2" w14:textId="77777777" w:rsidTr="001F6BE7">
        <w:tc>
          <w:tcPr>
            <w:tcW w:w="4405" w:type="dxa"/>
          </w:tcPr>
          <w:p w14:paraId="4AEC28FC" w14:textId="583CAC81" w:rsidR="005C4649" w:rsidRDefault="005C4649" w:rsidP="005C4649">
            <w:r w:rsidRPr="005C4649">
              <w:t xml:space="preserve">CQD Helpdesk </w:t>
            </w:r>
            <w:proofErr w:type="spellStart"/>
            <w:r w:rsidRPr="005C4649">
              <w:t>Report.pbi</w:t>
            </w:r>
            <w:r w:rsidR="00FE7504">
              <w:t>t</w:t>
            </w:r>
            <w:proofErr w:type="spellEnd"/>
          </w:p>
        </w:tc>
        <w:tc>
          <w:tcPr>
            <w:tcW w:w="4945" w:type="dxa"/>
          </w:tcPr>
          <w:p w14:paraId="60ED27B5" w14:textId="24161091" w:rsidR="005C4649" w:rsidRPr="00F120AE" w:rsidRDefault="00196915" w:rsidP="008E2AA5">
            <w:pPr>
              <w:rPr>
                <w:highlight w:val="yellow"/>
              </w:rPr>
            </w:pPr>
            <w:r w:rsidRPr="008E2AA5">
              <w:t xml:space="preserve">Integrating building and EUII data, this report is designed to let you </w:t>
            </w:r>
            <w:r w:rsidR="008E2AA5">
              <w:t xml:space="preserve">drill up from a single user to find the </w:t>
            </w:r>
            <w:r w:rsidR="008E2AA5" w:rsidRPr="008E2AA5">
              <w:t xml:space="preserve">upstream </w:t>
            </w:r>
            <w:r w:rsidRPr="008E2AA5">
              <w:t>root</w:t>
            </w:r>
            <w:r w:rsidR="008E2AA5">
              <w:t xml:space="preserve"> </w:t>
            </w:r>
            <w:r w:rsidRPr="008E2AA5">
              <w:t>cause of poor call quality</w:t>
            </w:r>
            <w:r w:rsidR="008E2AA5" w:rsidRPr="008E2AA5">
              <w:t xml:space="preserve"> for that user (for example, the user is in a building that’s experiencing network problems). </w:t>
            </w:r>
          </w:p>
        </w:tc>
      </w:tr>
      <w:tr w:rsidR="005C4649" w14:paraId="1F54BDF7" w14:textId="77777777" w:rsidTr="001F6BE7">
        <w:tc>
          <w:tcPr>
            <w:tcW w:w="4405" w:type="dxa"/>
          </w:tcPr>
          <w:p w14:paraId="3304D137" w14:textId="26312BB3" w:rsidR="005C4649" w:rsidRDefault="005C4649" w:rsidP="005C4649">
            <w:r w:rsidRPr="005C4649">
              <w:t xml:space="preserve">CQD Location Enhanced </w:t>
            </w:r>
            <w:proofErr w:type="spellStart"/>
            <w:r w:rsidRPr="005C4649">
              <w:t>Report.pbi</w:t>
            </w:r>
            <w:r w:rsidR="00FE7504">
              <w:t>t</w:t>
            </w:r>
            <w:proofErr w:type="spellEnd"/>
          </w:p>
        </w:tc>
        <w:tc>
          <w:tcPr>
            <w:tcW w:w="4945" w:type="dxa"/>
          </w:tcPr>
          <w:p w14:paraId="5ADB04D1" w14:textId="7052B49D" w:rsidR="005C4649" w:rsidRDefault="00544DA3" w:rsidP="0072451E">
            <w:r>
              <w:t xml:space="preserve">Re-imagining CQD SPD location reports. </w:t>
            </w:r>
            <w:r w:rsidR="00196915" w:rsidRPr="00AF17A4">
              <w:t xml:space="preserve">Includes </w:t>
            </w:r>
            <w:r w:rsidR="00196915" w:rsidRPr="00196915">
              <w:t xml:space="preserve">9 reports, providing Call Quality, </w:t>
            </w:r>
            <w:r w:rsidR="001F21D7">
              <w:t xml:space="preserve">Building </w:t>
            </w:r>
            <w:proofErr w:type="spellStart"/>
            <w:r w:rsidR="001F21D7">
              <w:t>WiFi</w:t>
            </w:r>
            <w:proofErr w:type="spellEnd"/>
            <w:r w:rsidR="001F21D7">
              <w:t xml:space="preserve">, </w:t>
            </w:r>
            <w:r w:rsidR="00196915" w:rsidRPr="00196915">
              <w:t>Reliability, and Rate My Call (RMC) information with additional drill</w:t>
            </w:r>
            <w:r w:rsidR="001F21D7">
              <w:t>-</w:t>
            </w:r>
            <w:proofErr w:type="spellStart"/>
            <w:r w:rsidR="00196915" w:rsidRPr="00196915">
              <w:t>thru</w:t>
            </w:r>
            <w:r w:rsidR="001F21D7">
              <w:t>s</w:t>
            </w:r>
            <w:proofErr w:type="spellEnd"/>
            <w:r w:rsidR="00196915" w:rsidRPr="00196915">
              <w:t xml:space="preserve"> by Building or by User.</w:t>
            </w:r>
          </w:p>
        </w:tc>
      </w:tr>
      <w:tr w:rsidR="005C4649" w14:paraId="1F53BC25" w14:textId="77777777" w:rsidTr="001F6BE7">
        <w:tc>
          <w:tcPr>
            <w:tcW w:w="4405" w:type="dxa"/>
          </w:tcPr>
          <w:p w14:paraId="11085FC3" w14:textId="4B879B82" w:rsidR="005C4649" w:rsidRDefault="005C4649" w:rsidP="005C4649">
            <w:r w:rsidRPr="005C4649">
              <w:t xml:space="preserve">CQD Mobile Device </w:t>
            </w:r>
            <w:proofErr w:type="spellStart"/>
            <w:r w:rsidRPr="005C4649">
              <w:t>Report.pbi</w:t>
            </w:r>
            <w:r w:rsidR="00FE7504">
              <w:t>t</w:t>
            </w:r>
            <w:proofErr w:type="spellEnd"/>
          </w:p>
        </w:tc>
        <w:tc>
          <w:tcPr>
            <w:tcW w:w="4945" w:type="dxa"/>
          </w:tcPr>
          <w:p w14:paraId="094E63B5" w14:textId="0D9C2100" w:rsidR="005C4649" w:rsidRDefault="00196915" w:rsidP="001F21D7">
            <w:r w:rsidRPr="00AF17A4">
              <w:t xml:space="preserve">Provides </w:t>
            </w:r>
            <w:r w:rsidRPr="00196915">
              <w:t xml:space="preserve">insights specifically tuned towards mobile device users, including Call Quality, Reliability, and </w:t>
            </w:r>
            <w:r w:rsidRPr="00AF17A4">
              <w:t>Rate My Call</w:t>
            </w:r>
            <w:r w:rsidRPr="00196915">
              <w:t>.</w:t>
            </w:r>
            <w:r w:rsidR="001F21D7">
              <w:t xml:space="preserve"> View mobile network, </w:t>
            </w:r>
            <w:proofErr w:type="spellStart"/>
            <w:r w:rsidR="001F21D7">
              <w:t>WiFi</w:t>
            </w:r>
            <w:proofErr w:type="spellEnd"/>
            <w:r w:rsidR="001F21D7">
              <w:t xml:space="preserve"> network, and mobile operating system reports (Android, iOS). </w:t>
            </w:r>
          </w:p>
        </w:tc>
      </w:tr>
      <w:tr w:rsidR="005C4649" w14:paraId="6F6460A1" w14:textId="77777777" w:rsidTr="001F6BE7">
        <w:tc>
          <w:tcPr>
            <w:tcW w:w="4405" w:type="dxa"/>
          </w:tcPr>
          <w:p w14:paraId="6A65A36B" w14:textId="51120055" w:rsidR="005C4649" w:rsidRDefault="005C4649" w:rsidP="005C4649">
            <w:r w:rsidRPr="005C4649">
              <w:t xml:space="preserve">CQD PSTN Direct Routing </w:t>
            </w:r>
            <w:proofErr w:type="spellStart"/>
            <w:r w:rsidRPr="005C4649">
              <w:t>Report.pbi</w:t>
            </w:r>
            <w:r w:rsidR="00FE7504">
              <w:t>t</w:t>
            </w:r>
            <w:proofErr w:type="spellEnd"/>
          </w:p>
        </w:tc>
        <w:tc>
          <w:tcPr>
            <w:tcW w:w="4945" w:type="dxa"/>
          </w:tcPr>
          <w:p w14:paraId="583B20C1" w14:textId="7D9EB2DB" w:rsidR="005C4649" w:rsidRDefault="00196915" w:rsidP="005C4649">
            <w:r>
              <w:t xml:space="preserve">Provides insights specific for PSTN calls that </w:t>
            </w:r>
            <w:r w:rsidR="00544DA3">
              <w:t xml:space="preserve">go through </w:t>
            </w:r>
            <w:r>
              <w:t>Direct Routing.</w:t>
            </w:r>
            <w:r w:rsidR="00B8171B">
              <w:t xml:space="preserve"> To learn more, read </w:t>
            </w:r>
            <w:hyperlink r:id="rId7" w:history="1">
              <w:r w:rsidR="00D06D51" w:rsidRPr="00D06D51">
                <w:rPr>
                  <w:rStyle w:val="Hyperlink"/>
                </w:rPr>
                <w:t>Using the CQD PSTN Direct Routing Report</w:t>
              </w:r>
            </w:hyperlink>
            <w:r w:rsidR="00D06D51">
              <w:t>.</w:t>
            </w:r>
          </w:p>
        </w:tc>
      </w:tr>
      <w:tr w:rsidR="005C4649" w14:paraId="6E67252E" w14:textId="77777777" w:rsidTr="001F6BE7">
        <w:tc>
          <w:tcPr>
            <w:tcW w:w="4405" w:type="dxa"/>
          </w:tcPr>
          <w:p w14:paraId="267E4577" w14:textId="30F6A139" w:rsidR="005C4649" w:rsidRDefault="005C4649" w:rsidP="005C4649">
            <w:r w:rsidRPr="005C4649">
              <w:t xml:space="preserve">CQD Summary </w:t>
            </w:r>
            <w:proofErr w:type="spellStart"/>
            <w:r w:rsidRPr="005C4649">
              <w:t>Report.pbi</w:t>
            </w:r>
            <w:r w:rsidR="00FE7504">
              <w:t>t</w:t>
            </w:r>
            <w:proofErr w:type="spellEnd"/>
          </w:p>
        </w:tc>
        <w:tc>
          <w:tcPr>
            <w:tcW w:w="4945" w:type="dxa"/>
          </w:tcPr>
          <w:p w14:paraId="132D471D" w14:textId="70B80F1F" w:rsidR="00F120AE" w:rsidRDefault="001F21D7" w:rsidP="00196915">
            <w:r>
              <w:t>B</w:t>
            </w:r>
            <w:r w:rsidR="00196915" w:rsidRPr="00196915">
              <w:t>etter visualizations, improved presentation, increased information density</w:t>
            </w:r>
            <w:r>
              <w:t>, and rolling dates</w:t>
            </w:r>
            <w:r w:rsidR="00196915" w:rsidRPr="00196915">
              <w:t>.</w:t>
            </w:r>
            <w:r w:rsidR="00196915" w:rsidRPr="00AF17A4">
              <w:t xml:space="preserve"> These reports make it easier to identifier outliers.</w:t>
            </w:r>
            <w:r>
              <w:t xml:space="preserve"> Drill into call quality by location with an easy-to-use interactive map. 9 new reports:</w:t>
            </w:r>
          </w:p>
          <w:p w14:paraId="602919D0" w14:textId="40808CE8" w:rsidR="001F21D7" w:rsidRDefault="001F21D7" w:rsidP="001F21D7">
            <w:pPr>
              <w:pStyle w:val="ListParagraph"/>
              <w:numPr>
                <w:ilvl w:val="0"/>
                <w:numId w:val="2"/>
              </w:numPr>
            </w:pPr>
            <w:r>
              <w:t>Quality Overall</w:t>
            </w:r>
          </w:p>
          <w:p w14:paraId="1EAA775A" w14:textId="4A20B0C2" w:rsidR="001F21D7" w:rsidRDefault="001F21D7" w:rsidP="001F21D7">
            <w:pPr>
              <w:pStyle w:val="ListParagraph"/>
              <w:numPr>
                <w:ilvl w:val="0"/>
                <w:numId w:val="2"/>
              </w:numPr>
            </w:pPr>
            <w:r>
              <w:t>Reliability Overall</w:t>
            </w:r>
          </w:p>
          <w:p w14:paraId="6329E06F" w14:textId="159A81B5" w:rsidR="001F21D7" w:rsidRDefault="001F21D7" w:rsidP="001F21D7">
            <w:pPr>
              <w:pStyle w:val="ListParagraph"/>
              <w:numPr>
                <w:ilvl w:val="0"/>
                <w:numId w:val="2"/>
              </w:numPr>
            </w:pPr>
            <w:r>
              <w:t>RMC (Rate My Call) Overall</w:t>
            </w:r>
          </w:p>
          <w:p w14:paraId="636EAF1B" w14:textId="5776E6B5" w:rsidR="001F21D7" w:rsidRDefault="001F21D7" w:rsidP="001F21D7">
            <w:pPr>
              <w:pStyle w:val="ListParagraph"/>
              <w:numPr>
                <w:ilvl w:val="0"/>
                <w:numId w:val="2"/>
              </w:numPr>
            </w:pPr>
            <w:r>
              <w:t>Conference Quality</w:t>
            </w:r>
          </w:p>
          <w:p w14:paraId="077DA14C" w14:textId="63AD991F" w:rsidR="001F21D7" w:rsidRDefault="001F21D7" w:rsidP="001F21D7">
            <w:pPr>
              <w:pStyle w:val="ListParagraph"/>
              <w:numPr>
                <w:ilvl w:val="0"/>
                <w:numId w:val="2"/>
              </w:numPr>
            </w:pPr>
            <w:r>
              <w:t>P2P Quality</w:t>
            </w:r>
          </w:p>
          <w:p w14:paraId="15D8379F" w14:textId="7B8FB222" w:rsidR="001F21D7" w:rsidRDefault="001F21D7" w:rsidP="001F21D7">
            <w:pPr>
              <w:pStyle w:val="ListParagraph"/>
              <w:numPr>
                <w:ilvl w:val="0"/>
                <w:numId w:val="2"/>
              </w:numPr>
            </w:pPr>
            <w:r>
              <w:t>Conference Reliability</w:t>
            </w:r>
          </w:p>
          <w:p w14:paraId="52B1AB07" w14:textId="0174F362" w:rsidR="001F21D7" w:rsidRDefault="001F21D7" w:rsidP="001F21D7">
            <w:pPr>
              <w:pStyle w:val="ListParagraph"/>
              <w:numPr>
                <w:ilvl w:val="0"/>
                <w:numId w:val="2"/>
              </w:numPr>
            </w:pPr>
            <w:r>
              <w:t>P2P Reliability</w:t>
            </w:r>
          </w:p>
          <w:p w14:paraId="7EA9AAD3" w14:textId="1DAB4391" w:rsidR="001F21D7" w:rsidRDefault="001F21D7" w:rsidP="001F21D7">
            <w:pPr>
              <w:pStyle w:val="ListParagraph"/>
              <w:numPr>
                <w:ilvl w:val="0"/>
                <w:numId w:val="2"/>
              </w:numPr>
            </w:pPr>
            <w:r>
              <w:lastRenderedPageBreak/>
              <w:t>Conference RMC</w:t>
            </w:r>
          </w:p>
          <w:p w14:paraId="553BB3A2" w14:textId="323419D1" w:rsidR="00544DA3" w:rsidRPr="00AF17A4" w:rsidRDefault="001F21D7" w:rsidP="001F21D7">
            <w:pPr>
              <w:pStyle w:val="ListParagraph"/>
              <w:numPr>
                <w:ilvl w:val="0"/>
                <w:numId w:val="2"/>
              </w:numPr>
            </w:pPr>
            <w:r>
              <w:t>P2P RMC</w:t>
            </w:r>
            <w:r w:rsidR="00544DA3">
              <w:t xml:space="preserve"> </w:t>
            </w:r>
          </w:p>
        </w:tc>
      </w:tr>
      <w:tr w:rsidR="00137BD0" w14:paraId="52DD9386" w14:textId="77777777" w:rsidTr="001F6BE7">
        <w:tc>
          <w:tcPr>
            <w:tcW w:w="4405" w:type="dxa"/>
          </w:tcPr>
          <w:p w14:paraId="2615128A" w14:textId="43C20F39" w:rsidR="00137BD0" w:rsidRPr="005C4649" w:rsidRDefault="00137BD0" w:rsidP="005C4649">
            <w:r>
              <w:lastRenderedPageBreak/>
              <w:t>CQD Teams Utilization</w:t>
            </w:r>
            <w:r w:rsidR="00C84707">
              <w:t xml:space="preserve"> </w:t>
            </w:r>
            <w:proofErr w:type="spellStart"/>
            <w:r w:rsidR="00C84707">
              <w:t>Report</w:t>
            </w:r>
            <w:r>
              <w:t>.pbi</w:t>
            </w:r>
            <w:r w:rsidR="00FE7504">
              <w:t>t</w:t>
            </w:r>
            <w:proofErr w:type="spellEnd"/>
          </w:p>
        </w:tc>
        <w:tc>
          <w:tcPr>
            <w:tcW w:w="4945" w:type="dxa"/>
          </w:tcPr>
          <w:p w14:paraId="11750F6D" w14:textId="6CC50253" w:rsidR="00137BD0" w:rsidRDefault="00D8495B" w:rsidP="00196915">
            <w:r>
              <w:t xml:space="preserve">Shows how users in your organization are using Teams and how much. </w:t>
            </w:r>
            <w:r w:rsidR="00BF4658">
              <w:t xml:space="preserve">To learn more, read </w:t>
            </w:r>
            <w:hyperlink r:id="rId8" w:history="1">
              <w:r w:rsidR="006961C9" w:rsidRPr="006961C9">
                <w:rPr>
                  <w:rStyle w:val="Hyperlink"/>
                </w:rPr>
                <w:t>Use CQD Power BI report to view Microsoft Teams utilization</w:t>
              </w:r>
            </w:hyperlink>
            <w:r w:rsidR="006961C9">
              <w:t>.</w:t>
            </w:r>
          </w:p>
        </w:tc>
      </w:tr>
      <w:tr w:rsidR="005C4649" w14:paraId="3CF220A4" w14:textId="77777777" w:rsidTr="001F6BE7">
        <w:tc>
          <w:tcPr>
            <w:tcW w:w="4405" w:type="dxa"/>
          </w:tcPr>
          <w:p w14:paraId="66FE6A05" w14:textId="468C45E0" w:rsidR="005C4649" w:rsidRDefault="005C4649" w:rsidP="005C4649">
            <w:r w:rsidRPr="005C4649">
              <w:t xml:space="preserve">CQD User Feedback (Rate My Call) </w:t>
            </w:r>
            <w:proofErr w:type="spellStart"/>
            <w:r w:rsidRPr="005C4649">
              <w:t>Report.pbi</w:t>
            </w:r>
            <w:r w:rsidR="00FE7504">
              <w:t>t</w:t>
            </w:r>
            <w:proofErr w:type="spellEnd"/>
          </w:p>
        </w:tc>
        <w:tc>
          <w:tcPr>
            <w:tcW w:w="4945" w:type="dxa"/>
          </w:tcPr>
          <w:p w14:paraId="49362339" w14:textId="2F5B6F4D" w:rsidR="005C4649" w:rsidRDefault="00AF17A4" w:rsidP="005C4649">
            <w:r>
              <w:t>Shows Rate My Call data in a way that you can easily use to help support calling for your organization.</w:t>
            </w:r>
            <w:r w:rsidR="001F21D7">
              <w:t xml:space="preserve"> Cross reference with verbatims to identify end user education opportunities.</w:t>
            </w:r>
          </w:p>
        </w:tc>
      </w:tr>
    </w:tbl>
    <w:p w14:paraId="645D5DD3" w14:textId="53337120" w:rsidR="005C4649" w:rsidRDefault="005C4649" w:rsidP="005C4649"/>
    <w:p w14:paraId="7787B229" w14:textId="6D28EF3F" w:rsidR="007D1BE5" w:rsidRDefault="007D1BE5" w:rsidP="007D1BE5">
      <w:pPr>
        <w:pStyle w:val="Heading2"/>
      </w:pPr>
      <w:r>
        <w:t>Factors that affect query performance</w:t>
      </w:r>
    </w:p>
    <w:p w14:paraId="566F39BF" w14:textId="3AD1D491" w:rsidR="007D1BE5" w:rsidRDefault="007D1BE5" w:rsidP="007D1BE5">
      <w:r>
        <w:t>When you customize these queries, if you find that the queries are running very slowly (or timing out), consider these factors:</w:t>
      </w:r>
    </w:p>
    <w:p w14:paraId="1ED49ED0" w14:textId="3339140E" w:rsidR="007D1BE5" w:rsidRDefault="007D1BE5" w:rsidP="007D1BE5">
      <w:pPr>
        <w:pStyle w:val="ListParagraph"/>
        <w:numPr>
          <w:ilvl w:val="0"/>
          <w:numId w:val="1"/>
        </w:numPr>
      </w:pPr>
      <w:r>
        <w:t>Amount of building data included</w:t>
      </w:r>
    </w:p>
    <w:p w14:paraId="62FFD72A" w14:textId="4F72B9B2" w:rsidR="007D1BE5" w:rsidRDefault="007D1BE5" w:rsidP="007D1BE5">
      <w:pPr>
        <w:pStyle w:val="ListParagraph"/>
        <w:numPr>
          <w:ilvl w:val="0"/>
          <w:numId w:val="1"/>
        </w:numPr>
      </w:pPr>
      <w:r>
        <w:t>Tenant size, number of records</w:t>
      </w:r>
    </w:p>
    <w:p w14:paraId="7F4ACAB6" w14:textId="3A67D25E" w:rsidR="007D1BE5" w:rsidRDefault="007D1BE5" w:rsidP="007D1BE5">
      <w:pPr>
        <w:pStyle w:val="ListParagraph"/>
        <w:numPr>
          <w:ilvl w:val="0"/>
          <w:numId w:val="1"/>
        </w:numPr>
      </w:pPr>
      <w:r>
        <w:t>Number of widgets per report page</w:t>
      </w:r>
    </w:p>
    <w:p w14:paraId="3C1FBB7C" w14:textId="08FCB4EF" w:rsidR="007D1BE5" w:rsidRDefault="007D1BE5" w:rsidP="007D1BE5">
      <w:pPr>
        <w:pStyle w:val="ListParagraph"/>
        <w:numPr>
          <w:ilvl w:val="0"/>
          <w:numId w:val="1"/>
        </w:numPr>
      </w:pPr>
      <w:r>
        <w:t>Number of rows returned in the query.</w:t>
      </w:r>
    </w:p>
    <w:p w14:paraId="2AE37006" w14:textId="4BDA977C" w:rsidR="00803CF7" w:rsidRDefault="00803CF7" w:rsidP="00803CF7">
      <w:pPr>
        <w:pStyle w:val="Heading2"/>
      </w:pPr>
      <w:r>
        <w:t>Legal</w:t>
      </w:r>
    </w:p>
    <w:p w14:paraId="2BBA7A13" w14:textId="79061FC9" w:rsidR="00803CF7" w:rsidRPr="00803CF7" w:rsidRDefault="00803CF7" w:rsidP="00803CF7">
      <w:pPr>
        <w:spacing w:before="100" w:beforeAutospacing="1" w:after="100" w:afterAutospacing="1" w:line="240" w:lineRule="auto"/>
      </w:pPr>
      <w:r w:rsidRPr="00803CF7">
        <w:t>Copyright 2020 Microsoft Corporation</w:t>
      </w:r>
    </w:p>
    <w:p w14:paraId="2BEA086A" w14:textId="77777777" w:rsidR="00803CF7" w:rsidRPr="00803CF7" w:rsidRDefault="00803CF7" w:rsidP="00803CF7">
      <w:pPr>
        <w:spacing w:before="100" w:beforeAutospacing="1" w:after="100" w:afterAutospacing="1" w:line="240" w:lineRule="auto"/>
      </w:pPr>
      <w:r w:rsidRPr="00803CF7">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C51985C" w14:textId="77777777" w:rsidR="00803CF7" w:rsidRPr="00803CF7" w:rsidRDefault="00803CF7" w:rsidP="00803CF7">
      <w:pPr>
        <w:spacing w:before="100" w:beforeAutospacing="1" w:after="100" w:afterAutospacing="1" w:line="240" w:lineRule="auto"/>
      </w:pPr>
      <w:r w:rsidRPr="00803CF7">
        <w:t>The above copyright notice and this permission notice shall be included in all copies or substantial portions of the Software.</w:t>
      </w:r>
    </w:p>
    <w:p w14:paraId="714ED0B1" w14:textId="77777777" w:rsidR="00803CF7" w:rsidRPr="00803CF7" w:rsidRDefault="00803CF7" w:rsidP="00803CF7">
      <w:pPr>
        <w:spacing w:before="100" w:beforeAutospacing="1" w:after="100" w:afterAutospacing="1" w:line="240" w:lineRule="auto"/>
      </w:pPr>
      <w:r w:rsidRPr="00803CF7">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BF23AE7" w14:textId="77777777" w:rsidR="00803CF7" w:rsidRPr="00803CF7" w:rsidRDefault="00803CF7" w:rsidP="00803CF7"/>
    <w:sectPr w:rsidR="00803CF7" w:rsidRPr="00803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509A0" w14:textId="77777777" w:rsidR="00727887" w:rsidRDefault="00727887" w:rsidP="00EB172B">
      <w:pPr>
        <w:spacing w:after="0" w:line="240" w:lineRule="auto"/>
      </w:pPr>
      <w:r>
        <w:separator/>
      </w:r>
    </w:p>
  </w:endnote>
  <w:endnote w:type="continuationSeparator" w:id="0">
    <w:p w14:paraId="09D5BB0B" w14:textId="77777777" w:rsidR="00727887" w:rsidRDefault="00727887" w:rsidP="00EB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562B8" w14:textId="77777777" w:rsidR="00727887" w:rsidRDefault="00727887" w:rsidP="00EB172B">
      <w:pPr>
        <w:spacing w:after="0" w:line="240" w:lineRule="auto"/>
      </w:pPr>
      <w:r>
        <w:separator/>
      </w:r>
    </w:p>
  </w:footnote>
  <w:footnote w:type="continuationSeparator" w:id="0">
    <w:p w14:paraId="05AB14ED" w14:textId="77777777" w:rsidR="00727887" w:rsidRDefault="00727887" w:rsidP="00EB1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F0E76"/>
    <w:multiLevelType w:val="hybridMultilevel"/>
    <w:tmpl w:val="D714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339E3"/>
    <w:multiLevelType w:val="hybridMultilevel"/>
    <w:tmpl w:val="DDE2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49"/>
    <w:rsid w:val="000B18AB"/>
    <w:rsid w:val="001132BB"/>
    <w:rsid w:val="00137BD0"/>
    <w:rsid w:val="00196915"/>
    <w:rsid w:val="001F21D7"/>
    <w:rsid w:val="001F6BE7"/>
    <w:rsid w:val="00275E45"/>
    <w:rsid w:val="004352F4"/>
    <w:rsid w:val="00544DA3"/>
    <w:rsid w:val="005C4649"/>
    <w:rsid w:val="00602BA1"/>
    <w:rsid w:val="006961C9"/>
    <w:rsid w:val="0072451E"/>
    <w:rsid w:val="00727887"/>
    <w:rsid w:val="00773FA1"/>
    <w:rsid w:val="00781631"/>
    <w:rsid w:val="007D1BE5"/>
    <w:rsid w:val="00803CF7"/>
    <w:rsid w:val="00877129"/>
    <w:rsid w:val="008E2AA5"/>
    <w:rsid w:val="009C06DB"/>
    <w:rsid w:val="009E691C"/>
    <w:rsid w:val="00AF17A4"/>
    <w:rsid w:val="00AF5EFD"/>
    <w:rsid w:val="00B310C6"/>
    <w:rsid w:val="00B6226D"/>
    <w:rsid w:val="00B8171B"/>
    <w:rsid w:val="00BB3D81"/>
    <w:rsid w:val="00BF4658"/>
    <w:rsid w:val="00C83990"/>
    <w:rsid w:val="00C84707"/>
    <w:rsid w:val="00D06D51"/>
    <w:rsid w:val="00D8495B"/>
    <w:rsid w:val="00EB172B"/>
    <w:rsid w:val="00EE761D"/>
    <w:rsid w:val="00F120AE"/>
    <w:rsid w:val="00F32897"/>
    <w:rsid w:val="00FC7B21"/>
    <w:rsid w:val="00FE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8276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4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46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1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72B"/>
  </w:style>
  <w:style w:type="paragraph" w:styleId="Footer">
    <w:name w:val="footer"/>
    <w:basedOn w:val="Normal"/>
    <w:link w:val="FooterChar"/>
    <w:uiPriority w:val="99"/>
    <w:unhideWhenUsed/>
    <w:rsid w:val="00EB1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72B"/>
  </w:style>
  <w:style w:type="paragraph" w:styleId="ListParagraph">
    <w:name w:val="List Paragraph"/>
    <w:basedOn w:val="Normal"/>
    <w:uiPriority w:val="34"/>
    <w:qFormat/>
    <w:rsid w:val="007D1BE5"/>
    <w:pPr>
      <w:ind w:left="720"/>
      <w:contextualSpacing/>
    </w:pPr>
  </w:style>
  <w:style w:type="paragraph" w:styleId="NormalWeb">
    <w:name w:val="Normal (Web)"/>
    <w:basedOn w:val="Normal"/>
    <w:uiPriority w:val="99"/>
    <w:semiHidden/>
    <w:unhideWhenUsed/>
    <w:rsid w:val="008E2A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3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990"/>
    <w:rPr>
      <w:rFonts w:ascii="Segoe UI" w:hAnsi="Segoe UI" w:cs="Segoe UI"/>
      <w:sz w:val="18"/>
      <w:szCs w:val="18"/>
    </w:rPr>
  </w:style>
  <w:style w:type="character" w:styleId="Hyperlink">
    <w:name w:val="Hyperlink"/>
    <w:basedOn w:val="DefaultParagraphFont"/>
    <w:uiPriority w:val="99"/>
    <w:unhideWhenUsed/>
    <w:rsid w:val="006961C9"/>
    <w:rPr>
      <w:color w:val="0563C1" w:themeColor="hyperlink"/>
      <w:u w:val="single"/>
    </w:rPr>
  </w:style>
  <w:style w:type="character" w:styleId="UnresolvedMention">
    <w:name w:val="Unresolved Mention"/>
    <w:basedOn w:val="DefaultParagraphFont"/>
    <w:uiPriority w:val="99"/>
    <w:semiHidden/>
    <w:unhideWhenUsed/>
    <w:rsid w:val="0069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2908">
      <w:bodyDiv w:val="1"/>
      <w:marLeft w:val="0"/>
      <w:marRight w:val="0"/>
      <w:marTop w:val="0"/>
      <w:marBottom w:val="0"/>
      <w:divBdr>
        <w:top w:val="none" w:sz="0" w:space="0" w:color="auto"/>
        <w:left w:val="none" w:sz="0" w:space="0" w:color="auto"/>
        <w:bottom w:val="none" w:sz="0" w:space="0" w:color="auto"/>
        <w:right w:val="none" w:sz="0" w:space="0" w:color="auto"/>
      </w:divBdr>
    </w:div>
    <w:div w:id="189152650">
      <w:bodyDiv w:val="1"/>
      <w:marLeft w:val="0"/>
      <w:marRight w:val="0"/>
      <w:marTop w:val="0"/>
      <w:marBottom w:val="0"/>
      <w:divBdr>
        <w:top w:val="none" w:sz="0" w:space="0" w:color="auto"/>
        <w:left w:val="none" w:sz="0" w:space="0" w:color="auto"/>
        <w:bottom w:val="none" w:sz="0" w:space="0" w:color="auto"/>
        <w:right w:val="none" w:sz="0" w:space="0" w:color="auto"/>
      </w:divBdr>
      <w:divsChild>
        <w:div w:id="1254507929">
          <w:marLeft w:val="0"/>
          <w:marRight w:val="0"/>
          <w:marTop w:val="0"/>
          <w:marBottom w:val="0"/>
          <w:divBdr>
            <w:top w:val="none" w:sz="0" w:space="0" w:color="auto"/>
            <w:left w:val="none" w:sz="0" w:space="0" w:color="auto"/>
            <w:bottom w:val="none" w:sz="0" w:space="0" w:color="auto"/>
            <w:right w:val="none" w:sz="0" w:space="0" w:color="auto"/>
          </w:divBdr>
        </w:div>
      </w:divsChild>
    </w:div>
    <w:div w:id="420302253">
      <w:bodyDiv w:val="1"/>
      <w:marLeft w:val="0"/>
      <w:marRight w:val="0"/>
      <w:marTop w:val="0"/>
      <w:marBottom w:val="0"/>
      <w:divBdr>
        <w:top w:val="none" w:sz="0" w:space="0" w:color="auto"/>
        <w:left w:val="none" w:sz="0" w:space="0" w:color="auto"/>
        <w:bottom w:val="none" w:sz="0" w:space="0" w:color="auto"/>
        <w:right w:val="none" w:sz="0" w:space="0" w:color="auto"/>
      </w:divBdr>
    </w:div>
    <w:div w:id="649672336">
      <w:bodyDiv w:val="1"/>
      <w:marLeft w:val="0"/>
      <w:marRight w:val="0"/>
      <w:marTop w:val="0"/>
      <w:marBottom w:val="0"/>
      <w:divBdr>
        <w:top w:val="none" w:sz="0" w:space="0" w:color="auto"/>
        <w:left w:val="none" w:sz="0" w:space="0" w:color="auto"/>
        <w:bottom w:val="none" w:sz="0" w:space="0" w:color="auto"/>
        <w:right w:val="none" w:sz="0" w:space="0" w:color="auto"/>
      </w:divBdr>
    </w:div>
    <w:div w:id="1945379234">
      <w:bodyDiv w:val="1"/>
      <w:marLeft w:val="0"/>
      <w:marRight w:val="0"/>
      <w:marTop w:val="0"/>
      <w:marBottom w:val="0"/>
      <w:divBdr>
        <w:top w:val="none" w:sz="0" w:space="0" w:color="auto"/>
        <w:left w:val="none" w:sz="0" w:space="0" w:color="auto"/>
        <w:bottom w:val="none" w:sz="0" w:space="0" w:color="auto"/>
        <w:right w:val="none" w:sz="0" w:space="0" w:color="auto"/>
      </w:divBdr>
      <w:divsChild>
        <w:div w:id="1709180104">
          <w:marLeft w:val="0"/>
          <w:marRight w:val="0"/>
          <w:marTop w:val="0"/>
          <w:marBottom w:val="0"/>
          <w:divBdr>
            <w:top w:val="none" w:sz="0" w:space="0" w:color="auto"/>
            <w:left w:val="none" w:sz="0" w:space="0" w:color="auto"/>
            <w:bottom w:val="none" w:sz="0" w:space="0" w:color="auto"/>
            <w:right w:val="none" w:sz="0" w:space="0" w:color="auto"/>
          </w:divBdr>
        </w:div>
      </w:divsChild>
    </w:div>
    <w:div w:id="1985044797">
      <w:bodyDiv w:val="1"/>
      <w:marLeft w:val="0"/>
      <w:marRight w:val="0"/>
      <w:marTop w:val="0"/>
      <w:marBottom w:val="0"/>
      <w:divBdr>
        <w:top w:val="none" w:sz="0" w:space="0" w:color="auto"/>
        <w:left w:val="none" w:sz="0" w:space="0" w:color="auto"/>
        <w:bottom w:val="none" w:sz="0" w:space="0" w:color="auto"/>
        <w:right w:val="none" w:sz="0" w:space="0" w:color="auto"/>
      </w:divBdr>
      <w:divsChild>
        <w:div w:id="572273941">
          <w:marLeft w:val="0"/>
          <w:marRight w:val="0"/>
          <w:marTop w:val="0"/>
          <w:marBottom w:val="0"/>
          <w:divBdr>
            <w:top w:val="none" w:sz="0" w:space="0" w:color="auto"/>
            <w:left w:val="none" w:sz="0" w:space="0" w:color="auto"/>
            <w:bottom w:val="none" w:sz="0" w:space="0" w:color="auto"/>
            <w:right w:val="none" w:sz="0" w:space="0" w:color="auto"/>
          </w:divBdr>
        </w:div>
      </w:divsChild>
    </w:div>
    <w:div w:id="2019962482">
      <w:bodyDiv w:val="1"/>
      <w:marLeft w:val="0"/>
      <w:marRight w:val="0"/>
      <w:marTop w:val="0"/>
      <w:marBottom w:val="0"/>
      <w:divBdr>
        <w:top w:val="none" w:sz="0" w:space="0" w:color="auto"/>
        <w:left w:val="none" w:sz="0" w:space="0" w:color="auto"/>
        <w:bottom w:val="none" w:sz="0" w:space="0" w:color="auto"/>
        <w:right w:val="none" w:sz="0" w:space="0" w:color="auto"/>
      </w:divBdr>
      <w:divsChild>
        <w:div w:id="1435515404">
          <w:marLeft w:val="0"/>
          <w:marRight w:val="0"/>
          <w:marTop w:val="0"/>
          <w:marBottom w:val="0"/>
          <w:divBdr>
            <w:top w:val="none" w:sz="0" w:space="0" w:color="auto"/>
            <w:left w:val="none" w:sz="0" w:space="0" w:color="auto"/>
            <w:bottom w:val="none" w:sz="0" w:space="0" w:color="auto"/>
            <w:right w:val="none" w:sz="0" w:space="0" w:color="auto"/>
          </w:divBdr>
        </w:div>
      </w:divsChild>
    </w:div>
    <w:div w:id="204741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microsoftteams/CQD-teams-utilization-report" TargetMode="External"/><Relationship Id="rId3" Type="http://schemas.openxmlformats.org/officeDocument/2006/relationships/settings" Target="settings.xml"/><Relationship Id="rId7" Type="http://schemas.openxmlformats.org/officeDocument/2006/relationships/hyperlink" Target="https://docs.microsoft.com/microsoftteams/CQD-PSTN-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2020-03-06T23:39:00Z</dcterms:created>
  <dcterms:modified xsi:type="dcterms:W3CDTF">2020-03-25T17:14:00Z</dcterms:modified>
</cp:coreProperties>
</file>