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Benetton</w:t>
      </w:r>
    </w:p>
    <w:p>
      <w:pPr>
        <w:jc w:val="center"/>
      </w:pPr>
      <w:r>
        <w:rPr>
          <w:rFonts w:ascii="Aptos" w:hAnsi="Aptos"/>
          <w:i/>
          <w:sz w:val="22"/>
        </w:rPr>
        <w:t>Flash Sale Poster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Graphic Design</w:t>
            </w:r>
          </w:p>
        </w:tc>
      </w:tr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Asset / File Reference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benetton</w:t>
            </w:r>
          </w:p>
        </w:tc>
      </w:tr>
    </w:tbl>
    <w:p/>
    <w:p>
      <w:r>
        <w:rPr>
          <w:b/>
          <w:sz w:val="24"/>
        </w:rPr>
        <w:t>Portfolio description</w:t>
      </w:r>
    </w:p>
    <w:p>
      <w:pPr>
        <w:spacing w:after="160"/>
      </w:pPr>
      <w:r>
        <w:t>A promotional poster designed to communicate Benetton’s flash sale with a clear, attention-focused visual hierarchy.</w:t>
      </w:r>
    </w:p>
    <w:p>
      <w:r>
        <w:rPr>
          <w:b/>
          <w:sz w:val="24"/>
        </w:rPr>
        <w:t>What we did</w:t>
      </w:r>
    </w:p>
    <w:p>
      <w:pPr>
        <w:spacing w:after="160"/>
      </w:pPr>
      <w:r>
        <w:t>We designed the promotional layout around the flash-sale message, balancing the offer, brand presentation, and visual impact.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t>Created to capture attention quickly and communicate the promotion clearly for social and promotional use.</w:t>
      </w:r>
    </w:p>
    <w:p>
      <w:r>
        <w:rPr>
          <w:b/>
          <w:sz w:val="24"/>
        </w:rPr>
        <w:t>Website display detail</w:t>
      </w:r>
    </w:p>
    <w:p>
      <w:pPr>
        <w:spacing w:after="0"/>
      </w:pPr>
      <w:r>
        <w:t>A promotional poster designed to communicate Benetton’s flash sale with a clear, attention-focused visual hierarchy.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