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0"/>
      </w:pPr>
      <w:r>
        <w:rPr>
          <w:rFonts w:ascii="Aptos Display" w:hAnsi="Aptos Display"/>
          <w:b/>
          <w:color w:val="365F91"/>
          <w:sz w:val="31"/>
        </w:rPr>
        <w:t>Applied Social Media Marketing Class Plan</w:t>
      </w:r>
    </w:p>
    <w:p>
      <w:pPr>
        <w:keepNext/>
        <w:spacing w:before="0" w:after="80"/>
      </w:pPr>
      <w:r>
        <w:rPr>
          <w:rFonts w:ascii="Aptos" w:hAnsi="Aptos"/>
          <w:i/>
          <w:color w:val="595959"/>
          <w:sz w:val="17"/>
        </w:rPr>
        <w:t>Real local businesses | Experiment-driven learning | 10 weekends | 20 x 1-hour classes</w:t>
      </w:r>
    </w:p>
    <w:p>
      <w:pPr>
        <w:spacing w:before="0" w:after="40" w:line="240" w:lineRule="auto"/>
        <w:ind w:left="144" w:right="144"/>
        <w:shd w:fill="D9EAF7"/>
      </w:pPr>
      <w:r>
        <w:rPr>
          <w:rFonts w:ascii="Aptos" w:hAnsi="Aptos"/>
          <w:b/>
          <w:i w:val="0"/>
          <w:color w:val="1F1F1F"/>
          <w:sz w:val="18"/>
        </w:rPr>
        <w:t>Purpose: Students learn the basics of branding and marketing by managing a scoped, approved social media project for an assigned local business. Each week they plan, execute, measure, present, and improve real work.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50"/>
        <w:gridCol w:w="3330"/>
        <w:gridCol w:w="1350"/>
        <w:gridCol w:w="3330"/>
      </w:tblGrid>
      <w:tr>
        <w:tc>
          <w:tcPr>
            <w:tcW w:type="dxa" w:w="1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65F91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Schedule</w:t>
            </w:r>
          </w:p>
        </w:tc>
        <w:tc>
          <w:tcPr>
            <w:tcW w:type="dxa" w:w="33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6"/>
              </w:rPr>
              <w:t>Saturday &amp; Sunday, 1:00-2:00 pm</w:t>
            </w:r>
          </w:p>
        </w:tc>
        <w:tc>
          <w:tcPr>
            <w:tcW w:type="dxa" w:w="1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65F91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33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6"/>
              </w:rPr>
              <w:t>10 weeks / 20 live sessions</w:t>
            </w:r>
          </w:p>
        </w:tc>
      </w:tr>
      <w:tr>
        <w:tc>
          <w:tcPr>
            <w:tcW w:type="dxa" w:w="1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65F91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Core method</w:t>
            </w:r>
          </w:p>
        </w:tc>
        <w:tc>
          <w:tcPr>
            <w:tcW w:type="dxa" w:w="33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6"/>
              </w:rPr>
              <w:t>Real business work + weekly experiments</w:t>
            </w:r>
          </w:p>
        </w:tc>
        <w:tc>
          <w:tcPr>
            <w:tcW w:type="dxa" w:w="13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65F91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Teacher role</w:t>
            </w:r>
          </w:p>
        </w:tc>
        <w:tc>
          <w:tcPr>
            <w:tcW w:type="dxa" w:w="33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6"/>
              </w:rPr>
              <w:t>Mentor/manager; remote support during the week</w:t>
            </w:r>
          </w:p>
        </w:tc>
      </w:tr>
    </w:tbl>
    <w:p>
      <w:pPr>
        <w:pStyle w:val="Heading1"/>
        <w:keepNext/>
        <w:spacing w:before="80" w:after="20" w:line="240" w:lineRule="auto"/>
      </w:pPr>
      <w:r>
        <w:rPr>
          <w:rFonts w:ascii="Aptos" w:hAnsi="Aptos"/>
          <w:b/>
          <w:color w:val="365F91"/>
          <w:sz w:val="22"/>
        </w:rPr>
        <w:t>How the course works</w:t>
      </w:r>
    </w:p>
    <w:p>
      <w:pPr>
        <w:pStyle w:val="ListBullet"/>
        <w:keepNext w:val="0"/>
        <w:spacing w:before="0" w:after="40" w:line="240" w:lineRule="auto"/>
        <w:ind w:left="288" w:hanging="187"/>
      </w:pPr>
      <w:r>
        <w:rPr>
          <w:rFonts w:ascii="Aptos" w:hAnsi="Aptos"/>
          <w:b w:val="0"/>
          <w:i w:val="0"/>
          <w:color w:val="1F1F1F"/>
          <w:sz w:val="17"/>
        </w:rPr>
        <w:t>Each student is assigned one local business and begins with a short discovery interview, approval boundaries, and baseline audit.</w:t>
      </w:r>
    </w:p>
    <w:p>
      <w:pPr>
        <w:pStyle w:val="ListBullet"/>
        <w:keepNext w:val="0"/>
        <w:spacing w:before="0" w:after="40" w:line="240" w:lineRule="auto"/>
        <w:ind w:left="288" w:hanging="187"/>
      </w:pPr>
      <w:r>
        <w:rPr>
          <w:rFonts w:ascii="Aptos" w:hAnsi="Aptos"/>
          <w:b w:val="0"/>
          <w:i w:val="0"/>
          <w:color w:val="1F1F1F"/>
          <w:sz w:val="17"/>
        </w:rPr>
        <w:t>Learning follows a weekly cycle: observe a business need, form a hypothesis, create and execute, collect evidence, explain the result, and decide the next action.</w:t>
      </w:r>
    </w:p>
    <w:p>
      <w:pPr>
        <w:pStyle w:val="ListBullet"/>
        <w:keepNext w:val="0"/>
        <w:spacing w:before="0" w:after="40" w:line="240" w:lineRule="auto"/>
        <w:ind w:left="288" w:hanging="187"/>
      </w:pPr>
      <w:r>
        <w:rPr>
          <w:rFonts w:ascii="Aptos" w:hAnsi="Aptos"/>
          <w:b w:val="0"/>
          <w:i w:val="0"/>
          <w:color w:val="1F1F1F"/>
          <w:sz w:val="17"/>
        </w:rPr>
        <w:t>Students do the work independently. The teacher gives concise inputs, sets standards, removes blockers, and manages deadlines rather than delivering long lectures.</w:t>
      </w:r>
    </w:p>
    <w:p>
      <w:pPr>
        <w:pStyle w:val="ListBullet"/>
        <w:keepNext w:val="0"/>
        <w:spacing w:before="0" w:after="40" w:line="240" w:lineRule="auto"/>
        <w:ind w:left="288" w:hanging="187"/>
      </w:pPr>
      <w:r>
        <w:rPr>
          <w:rFonts w:ascii="Aptos" w:hAnsi="Aptos"/>
          <w:b w:val="0"/>
          <w:i w:val="0"/>
          <w:color w:val="1F1F1F"/>
          <w:sz w:val="17"/>
        </w:rPr>
        <w:t>Nothing is published, messaged, advertised, or paid for without the business owner's approval. Student work must respect privacy, copyright, brand voice, and platform rules.</w:t>
      </w:r>
    </w:p>
    <w:p>
      <w:pPr>
        <w:pStyle w:val="Heading1"/>
        <w:keepNext/>
        <w:spacing w:before="60" w:after="40" w:line="240" w:lineRule="auto"/>
      </w:pPr>
      <w:r>
        <w:rPr>
          <w:rFonts w:ascii="Aptos" w:hAnsi="Aptos"/>
          <w:b/>
          <w:color w:val="365F91"/>
          <w:sz w:val="22"/>
        </w:rPr>
        <w:t>Weekend-to-weekday operating rhythm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65F91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SATURDAY | REVIEW &amp; DEFEND</w:t>
            </w:r>
          </w:p>
        </w:tc>
        <w:tc>
          <w:tcPr>
            <w:tcW w:type="dxa" w:w="3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65F91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SUNDAY | BUILD &amp; COMMIT</w:t>
            </w:r>
          </w:p>
        </w:tc>
        <w:tc>
          <w:tcPr>
            <w:tcW w:type="dxa" w:w="3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65F91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MON-FRI | FIELDWORK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6"/>
              </w:rPr>
              <w:t>Progress evidence; student presentations; questions and defense; manager-style feedback.</w:t>
            </w:r>
          </w:p>
        </w:tc>
        <w:tc>
          <w:tcPr>
            <w:tcW w:type="dxa" w:w="3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6"/>
              </w:rPr>
              <w:t>Short concept input; guided planning; task assignment; student states the week's commitment.</w:t>
            </w:r>
          </w:p>
        </w:tc>
        <w:tc>
          <w:tcPr>
            <w:tcW w:type="dxa" w:w="3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6"/>
              </w:rPr>
              <w:t>Students execute with the business, record evidence and metrics, and request remote help when blocked.</w:t>
            </w:r>
          </w:p>
        </w:tc>
      </w:tr>
    </w:tbl>
    <w:p>
      <w:pPr>
        <w:pStyle w:val="Heading1"/>
        <w:keepNext/>
        <w:spacing w:before="60" w:after="20" w:line="240" w:lineRule="auto"/>
      </w:pPr>
      <w:r>
        <w:rPr>
          <w:rFonts w:ascii="Aptos" w:hAnsi="Aptos"/>
          <w:b/>
          <w:color w:val="365F91"/>
          <w:sz w:val="22"/>
        </w:rPr>
        <w:t>Learning outcomes</w:t>
      </w:r>
    </w:p>
    <w:p>
      <w:pPr>
        <w:pStyle w:val="ListBullet"/>
        <w:keepNext w:val="0"/>
        <w:spacing w:before="0" w:after="40" w:line="240" w:lineRule="auto"/>
        <w:ind w:left="288" w:hanging="187"/>
      </w:pPr>
      <w:r>
        <w:rPr>
          <w:rFonts w:ascii="Aptos" w:hAnsi="Aptos"/>
          <w:b w:val="0"/>
          <w:i w:val="0"/>
          <w:color w:val="1F1F1F"/>
          <w:sz w:val="16"/>
        </w:rPr>
        <w:t>Explain a brand's audience, positioning, promise, voice, and visual direction in plain language.</w:t>
      </w:r>
    </w:p>
    <w:p>
      <w:pPr>
        <w:pStyle w:val="ListBullet"/>
        <w:keepNext w:val="0"/>
        <w:spacing w:before="0" w:after="40" w:line="240" w:lineRule="auto"/>
        <w:ind w:left="288" w:hanging="187"/>
      </w:pPr>
      <w:r>
        <w:rPr>
          <w:rFonts w:ascii="Aptos" w:hAnsi="Aptos"/>
          <w:b w:val="0"/>
          <w:i w:val="0"/>
          <w:color w:val="1F1F1F"/>
          <w:sz w:val="16"/>
        </w:rPr>
        <w:t>Connect marketing goals to a simple customer journey, offer, channel, content, call to action, and metric.</w:t>
      </w:r>
    </w:p>
    <w:p>
      <w:pPr>
        <w:pStyle w:val="ListBullet"/>
        <w:keepNext w:val="0"/>
        <w:spacing w:before="0" w:after="40" w:line="240" w:lineRule="auto"/>
        <w:ind w:left="288" w:hanging="187"/>
      </w:pPr>
      <w:r>
        <w:rPr>
          <w:rFonts w:ascii="Aptos" w:hAnsi="Aptos"/>
          <w:b w:val="0"/>
          <w:i w:val="0"/>
          <w:color w:val="1F1F1F"/>
          <w:sz w:val="16"/>
        </w:rPr>
        <w:t>Create basic social content and run at least two small, measurable experiments for the assigned business.</w:t>
      </w:r>
    </w:p>
    <w:p>
      <w:pPr>
        <w:pStyle w:val="ListBullet"/>
        <w:keepNext w:val="0"/>
        <w:spacing w:before="0" w:after="40" w:line="240" w:lineRule="auto"/>
        <w:ind w:left="288" w:hanging="187"/>
      </w:pPr>
      <w:r>
        <w:rPr>
          <w:rFonts w:ascii="Aptos" w:hAnsi="Aptos"/>
          <w:b w:val="0"/>
          <w:i w:val="0"/>
          <w:color w:val="1F1F1F"/>
          <w:sz w:val="16"/>
        </w:rPr>
        <w:t>Use evidence to defend choices, answer questions, accept critique, and recommend a clear next step.</w:t>
      </w:r>
    </w:p>
    <w:p>
      <w:pPr>
        <w:pStyle w:val="Heading1"/>
        <w:keepNext/>
        <w:spacing w:before="60" w:after="20" w:line="240" w:lineRule="auto"/>
      </w:pPr>
      <w:r>
        <w:rPr>
          <w:rFonts w:ascii="Aptos" w:hAnsi="Aptos"/>
          <w:b/>
          <w:color w:val="365F91"/>
          <w:sz w:val="22"/>
        </w:rPr>
        <w:t>Evidence and assessment</w:t>
      </w:r>
    </w:p>
    <w:p>
      <w:pPr>
        <w:spacing w:before="0" w:after="0" w:line="240" w:lineRule="auto"/>
      </w:pPr>
      <w:r>
        <w:rPr>
          <w:rFonts w:ascii="Aptos" w:hAnsi="Aptos"/>
          <w:b/>
          <w:color w:val="365F91"/>
          <w:sz w:val="16"/>
        </w:rPr>
        <w:t>50%</w:t>
      </w:r>
      <w:r>
        <w:rPr>
          <w:rFonts w:ascii="Aptos" w:hAnsi="Aptos"/>
          <w:color w:val="1F1F1F"/>
          <w:sz w:val="16"/>
        </w:rPr>
        <w:t xml:space="preserve"> weekly business deliverables and experiment evidence  |  </w:t>
      </w:r>
      <w:r>
        <w:rPr>
          <w:rFonts w:ascii="Aptos" w:hAnsi="Aptos"/>
          <w:b/>
          <w:color w:val="365F91"/>
          <w:sz w:val="16"/>
        </w:rPr>
        <w:t>25%</w:t>
      </w:r>
      <w:r>
        <w:rPr>
          <w:rFonts w:ascii="Aptos" w:hAnsi="Aptos"/>
          <w:color w:val="1F1F1F"/>
          <w:sz w:val="16"/>
        </w:rPr>
        <w:t xml:space="preserve"> presentations, defense, and clarity  |  </w:t>
      </w:r>
      <w:r>
        <w:rPr>
          <w:rFonts w:ascii="Aptos" w:hAnsi="Aptos"/>
          <w:b/>
          <w:color w:val="365F91"/>
          <w:sz w:val="16"/>
        </w:rPr>
        <w:t>15%</w:t>
      </w:r>
      <w:r>
        <w:rPr>
          <w:rFonts w:ascii="Aptos" w:hAnsi="Aptos"/>
          <w:color w:val="1F1F1F"/>
          <w:sz w:val="16"/>
        </w:rPr>
        <w:t xml:space="preserve"> reliability, client communication, and deadline management  |  </w:t>
      </w:r>
      <w:r>
        <w:rPr>
          <w:rFonts w:ascii="Aptos" w:hAnsi="Aptos"/>
          <w:b/>
          <w:color w:val="365F91"/>
          <w:sz w:val="16"/>
        </w:rPr>
        <w:t>10%</w:t>
      </w:r>
      <w:r>
        <w:rPr>
          <w:rFonts w:ascii="Aptos" w:hAnsi="Aptos"/>
          <w:color w:val="1F1F1F"/>
          <w:sz w:val="16"/>
        </w:rPr>
        <w:t xml:space="preserve"> final portfolio and business handoff</w:t>
      </w:r>
    </w:p>
    <w:p>
      <w:pPr>
        <w:keepLines/>
        <w:spacing w:before="0" w:after="40" w:line="240" w:lineRule="auto"/>
      </w:pPr>
      <w:r>
        <w:rPr>
          <w:rFonts w:ascii="Aptos" w:hAnsi="Aptos"/>
          <w:b w:val="0"/>
          <w:i/>
          <w:color w:val="595959"/>
          <w:sz w:val="16"/>
        </w:rPr>
        <w:t>Weekly proof: task tracker, links/screenshots or drafts, business feedback, metrics, and a short reflection: What happened? Why? What next?</w:t>
      </w:r>
    </w:p>
    <w:p>
      <w:r>
        <w:br w:type="page"/>
      </w:r>
    </w:p>
    <w:p>
      <w:pPr>
        <w:keepNext/>
        <w:spacing w:before="0" w:after="60"/>
      </w:pPr>
      <w:r>
        <w:rPr>
          <w:rFonts w:ascii="Aptos Display" w:hAnsi="Aptos Display"/>
          <w:b/>
          <w:color w:val="365F91"/>
          <w:sz w:val="27"/>
        </w:rPr>
        <w:t>10-Week / 20-Session Execution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520"/>
        <w:gridCol w:w="1500"/>
        <w:gridCol w:w="2200"/>
        <w:gridCol w:w="2200"/>
        <w:gridCol w:w="2940"/>
      </w:tblGrid>
      <w:tr>
        <w:trPr>
          <w:tblHeader w:val="true"/>
        </w:trP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65F91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WK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65F91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2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65F91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SATURDAY 1-2 PM</w:t>
            </w:r>
          </w:p>
        </w:tc>
        <w:tc>
          <w:tcPr>
            <w:tcW w:type="dxa" w:w="2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65F91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SUNDAY 1-2 PM</w:t>
            </w:r>
          </w:p>
        </w:tc>
        <w:tc>
          <w:tcPr>
            <w:tcW w:type="dxa" w:w="29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65F91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MONDAY-FRIDAY DELIVERABLE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Business onboarding &amp; baseline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Course model; meet the business; define scope and approval rules.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Discovery questions; audit channels, audience, offer, and current performance.</w:t>
            </w:r>
          </w:p>
        </w:tc>
        <w:tc>
          <w:tcPr>
            <w:tcW w:type="dxa" w:w="29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Complete interview, consent/scope sheet, baseline screenshots and 3 priority problems.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2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Branding basics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Present baseline; defend the chosen priority problem.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Audience, positioning, brand promise, voice, visual consistency.</w:t>
            </w:r>
          </w:p>
        </w:tc>
        <w:tc>
          <w:tcPr>
            <w:tcW w:type="dxa" w:w="29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Create a one-page brand brief with audience, promise, voice, colors/type, and examples.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3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Marketing basics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Present brand brief; answer client-fit questions.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Customer journey, objectives, offer, channel, CTA, and useful metrics.</w:t>
            </w:r>
          </w:p>
        </w:tc>
        <w:tc>
          <w:tcPr>
            <w:tcW w:type="dxa" w:w="29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Map a simple funnel; write 2 measurable experiment hypotheses and success criteria.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4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Content planning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Pitch hypotheses and receive challenge questions.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Content pillars, formats, calendar, copy structure, and approval workflow.</w:t>
            </w:r>
          </w:p>
        </w:tc>
        <w:tc>
          <w:tcPr>
            <w:tcW w:type="dxa" w:w="29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Build a 1-week calendar and produce 3 approval-ready content drafts.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5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Experiment 1: execute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Content critique; defend creative and CTA choices.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Finalize organic experiment; publishing checklist; evidence capture.</w:t>
            </w:r>
          </w:p>
        </w:tc>
        <w:tc>
          <w:tcPr>
            <w:tcW w:type="dxa" w:w="29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Launch approved Experiment 1; record dates, content, reach, engagement, clicks/leads.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6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Audience communication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Report early signals; explain what is and is not working.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Comments/DMs, response tone, community care, escalation, and privacy.</w:t>
            </w:r>
          </w:p>
        </w:tc>
        <w:tc>
          <w:tcPr>
            <w:tcW w:type="dxa" w:w="29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Use an approved response guide; document interactions and recurring questions.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7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Analytics &amp; iteration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Present Experiment 1 results and defend the conclusion.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Read core metrics; compare baseline; separate signal from assumption.</w:t>
            </w:r>
          </w:p>
        </w:tc>
        <w:tc>
          <w:tcPr>
            <w:tcW w:type="dxa" w:w="29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Write a 1-page experiment review and recommend one evidence-based change.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8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Experiment 2: improve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Pitch the change and expected result.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Design a controlled improvement: hook, format, timing, offer, CTA, or audience.</w:t>
            </w:r>
          </w:p>
        </w:tc>
        <w:tc>
          <w:tcPr>
            <w:tcW w:type="dxa" w:w="29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Launch approved Experiment 2; keep other variables stable where practical; log results.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9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Micro-campaign &amp; reporting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Compare experiments; explain trade-offs and limits.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Combine brand, content, CTA, and measurement into a short campaign plan.</w:t>
            </w:r>
          </w:p>
        </w:tc>
        <w:tc>
          <w:tcPr>
            <w:tcW w:type="dxa" w:w="29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Run/prepare an approved 1-week micro-campaign and draft a client-facing report.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10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1F1F"/>
                <w:sz w:val="14"/>
              </w:rPr>
              <w:t>Final defense &amp; handoff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Final presentation: problem, actions, evidence, learning, recommendation.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Peer/client questions; revise portfolio; plan a sustainable next 30 days.</w:t>
            </w:r>
          </w:p>
        </w:tc>
        <w:tc>
          <w:tcPr>
            <w:tcW w:type="dxa" w:w="29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4"/>
              </w:rPr>
              <w:t>Deliver final portfolio, asset folder, metrics summary, recommendations, and client handoff.</w:t>
            </w:r>
          </w:p>
        </w:tc>
      </w:tr>
    </w:tbl>
    <w:p>
      <w:pPr>
        <w:keepLines/>
        <w:spacing w:before="0" w:after="40" w:line="240" w:lineRule="auto"/>
        <w:shd w:fill="F2F2F2"/>
      </w:pPr>
      <w:r>
        <w:rPr>
          <w:rFonts w:ascii="Aptos" w:hAnsi="Aptos"/>
          <w:b/>
          <w:i w:val="0"/>
          <w:color w:val="1F1F1F"/>
          <w:sz w:val="16"/>
        </w:rPr>
        <w:t>Completion standard: Every student must show approved real-business work, evidence from two experiments, reflective decisions, a clear verbal defense, and a usable handoff for the business.</w:t>
      </w:r>
    </w:p>
    <w:sectPr w:rsidR="008D0F66" w:rsidSect="002303DE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150A1" w14:textId="77777777" w:rsidR="008D0F66" w:rsidRDefault="008D0F66" w:rsidP="002303DE">
      <w:pPr>
        <w:spacing w:after="0" w:line="240" w:lineRule="auto"/>
      </w:pPr>
      <w:r>
        <w:separator/>
      </w:r>
    </w:p>
  </w:endnote>
  <w:endnote w:type="continuationSeparator" w:id="0">
    <w:p w14:paraId="1829603B" w14:textId="77777777" w:rsidR="008D0F66" w:rsidRDefault="008D0F66" w:rsidP="00230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DC753" w14:textId="58FA271C" w:rsidR="002303DE" w:rsidRPr="002303DE" w:rsidRDefault="002303DE">
    <w:pPr>
      <w:pStyle w:val="Footer"/>
      <w:spacing w:before="0" w:after="0"/>
      <w:rPr>
        <w:sz w:val="16"/>
        <w:szCs w:val="16"/>
      </w:rPr>
    </w:pPr>
    <w:r>
      <w:rPr>
        <w:rFonts w:ascii="Aptos" w:hAnsi="Aptos"/>
        <w:color w:val="595959"/>
        <w:sz w:val="16"/>
      </w:rPr>
      <w:t>01-Sep-26</w:t>
      <w:tab/>
      <w:tab/>
      <w:t>SMM_Applied_Class_Plan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47D3B" w14:textId="77777777" w:rsidR="008D0F66" w:rsidRDefault="008D0F66" w:rsidP="002303DE">
      <w:pPr>
        <w:spacing w:after="0" w:line="240" w:lineRule="auto"/>
      </w:pPr>
      <w:r>
        <w:separator/>
      </w:r>
    </w:p>
  </w:footnote>
  <w:footnote w:type="continuationSeparator" w:id="0">
    <w:p w14:paraId="0B00A561" w14:textId="77777777" w:rsidR="008D0F66" w:rsidRDefault="008D0F66" w:rsidP="00230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250DF" w14:textId="23C5C112" w:rsidR="002303DE" w:rsidRPr="002303DE" w:rsidRDefault="002303DE" w:rsidP="002303DE">
    <w:pPr>
      <w:pBdr>
        <w:bottom w:val="single" w:sz="8" w:space="4" w:color="4F81BD" w:themeColor="accent1"/>
      </w:pBdr>
      <w:spacing w:after="300" w:line="240" w:lineRule="auto"/>
      <w:contextualSpacing/>
      <w:jc w:val="center"/>
      <w:rPr>
        <w:rFonts w:asciiTheme="majorHAnsi" w:eastAsiaTheme="majorEastAsia" w:hAnsiTheme="majorHAnsi" w:cstheme="majorBidi"/>
        <w:color w:val="17365D" w:themeColor="text2" w:themeShade="BF"/>
        <w:spacing w:val="5"/>
        <w:kern w:val="28"/>
        <w:sz w:val="44"/>
        <w:szCs w:val="44"/>
      </w:rPr>
    </w:pPr>
    <w:sdt>
      <w:sdt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  <w:id w:val="1217013508"/>
        <w:docPartObj>
          <w:docPartGallery w:val="Page Numbers (Margins)"/>
          <w:docPartUnique/>
        </w:docPartObj>
      </w:sdtPr>
      <w:sdtContent>
        <w:r w:rsidRPr="002303DE">
          <w:rPr>
            <w:rFonts w:asciiTheme="majorHAnsi" w:eastAsiaTheme="majorEastAsia" w:hAnsiTheme="majorHAnsi" w:cstheme="majorBidi"/>
            <w:noProof/>
            <w:color w:val="17365D" w:themeColor="text2" w:themeShade="BF"/>
            <w:spacing w:val="5"/>
            <w:kern w:val="28"/>
            <w:sz w:val="44"/>
            <w:szCs w:val="44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2A1279D" wp14:editId="4AEB14CD">
                  <wp:simplePos x="0" y="0"/>
                  <wp:positionH relativeFrom="lef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70876619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97FE3" w14:textId="77777777" w:rsidR="002303DE" w:rsidRDefault="002303DE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2A1279D" id="Rectangle 1" o:spid="_x0000_s1026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1B797FE3" w14:textId="77777777" w:rsidR="002303DE" w:rsidRDefault="002303DE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Pr="002303DE">
      <w:rPr>
        <w:rFonts w:asciiTheme="majorHAnsi" w:eastAsiaTheme="majorEastAsia" w:hAnsiTheme="majorHAnsi" w:cstheme="majorBidi"/>
        <w:color w:val="17365D" w:themeColor="text2" w:themeShade="BF"/>
        <w:spacing w:val="5"/>
        <w:kern w:val="28"/>
        <w:sz w:val="44"/>
        <w:szCs w:val="44"/>
      </w:rPr>
      <w:t>Social Media Marketing (SMM)</w:t>
    </w:r>
  </w:p>
  <w:p w14:paraId="1F75BB83" w14:textId="77777777" w:rsidR="002303DE" w:rsidRDefault="002303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661560">
    <w:abstractNumId w:val="8"/>
  </w:num>
  <w:num w:numId="2" w16cid:durableId="1847093628">
    <w:abstractNumId w:val="6"/>
  </w:num>
  <w:num w:numId="3" w16cid:durableId="1171602440">
    <w:abstractNumId w:val="5"/>
  </w:num>
  <w:num w:numId="4" w16cid:durableId="1830629610">
    <w:abstractNumId w:val="4"/>
  </w:num>
  <w:num w:numId="5" w16cid:durableId="919100909">
    <w:abstractNumId w:val="7"/>
  </w:num>
  <w:num w:numId="6" w16cid:durableId="98070149">
    <w:abstractNumId w:val="3"/>
  </w:num>
  <w:num w:numId="7" w16cid:durableId="939337531">
    <w:abstractNumId w:val="2"/>
  </w:num>
  <w:num w:numId="8" w16cid:durableId="1451624455">
    <w:abstractNumId w:val="1"/>
  </w:num>
  <w:num w:numId="9" w16cid:durableId="203464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3DE"/>
    <w:rsid w:val="0029639D"/>
    <w:rsid w:val="00326F90"/>
    <w:rsid w:val="008D0F66"/>
    <w:rsid w:val="00AA1D8D"/>
    <w:rsid w:val="00B47730"/>
    <w:rsid w:val="00CB0664"/>
    <w:rsid w:val="00DE48AC"/>
    <w:rsid w:val="00E375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46049A"/>
  <w14:defaultImageDpi w14:val="300"/>
  <w15:docId w15:val="{CDB0BBC7-ECA9-40C2-9C36-F49D814F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3DE"/>
    <w:pPr>
      <w:spacing w:after="40" w:line="240" w:lineRule="auto"/>
    </w:pPr>
    <w:rPr>
      <w:rFonts w:ascii="Aptos" w:hAnsi="Aptos"/>
      <w:color w:val="1F1F1F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Social Media Marketing Class Plan</dc:title>
  <dc:subject>10-week experiment-driven class plan for assigned local businesses</dc:subject>
  <dc:creator>python-docx</dc:creator>
  <cp:keywords>SMM, branding, marketing, local business, experiment-driven learning</cp:keywords>
  <dc:description>generated by python-docx</dc:description>
  <cp:lastModifiedBy>Altaf Afridi</cp:lastModifiedBy>
  <cp:revision>2</cp:revision>
  <dcterms:created xsi:type="dcterms:W3CDTF">2013-12-23T23:15:00Z</dcterms:created>
  <dcterms:modified xsi:type="dcterms:W3CDTF">2026-08-25T06:55:00Z</dcterms:modified>
  <cp:category/>
</cp:coreProperties>
</file>