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Times New Roman" w:hAnsi="Times New Roman"/>
          <w:b w:val="0"/>
          <w:sz w:val="24"/>
        </w:rPr>
        <w:t>Department of Software Engineering</w:t>
        <w:br/>
        <w:t>Institute of Management Sciences</w:t>
        <w:br/>
        <w:t>Peshawar, PAKISTAN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October 14, 2026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Mr. Salman Khan</w:t>
        <w:br/>
        <w:t>Manager</w:t>
        <w:br/>
        <w:t>TechZone Electronics</w:t>
        <w:br/>
        <w:t>University Road</w:t>
        <w:br/>
        <w:t>Peshawar, PAKISTAN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Subject: Complaint about defective wireless headphones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Dear Mr. Khan: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I am writing to complain about the wireless headphones that I purchased from TechZone Electronics on October 10, 2026. The product is SoundWave Pro Wireless Headphones, and the invoice number is TZ-1048.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Unfortunately, the headphones do not work properly. The left speaker produces no sound, and the battery stops working after approximately thirty minutes of use. I followed the charging and setup instructions, but the problem has continued.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As the product is still under warranty, I kindly request a replacement pair or a full refund. I have enclosed a copy of the invoice for your reference. Please let me know how I should return the defective product.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I hope you will resolve this matter promptly. I would appreciate your response within seven working days. Thank you for your attention to this complaint.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Sincerely,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Abdul Samad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BSSE, 5th Semester</w:t>
        <w:br/>
        <w:t>Institute of Management Sciences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Enclosure: Copy of invoice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