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30"/>
        </w:rPr>
        <w:t>Beyond Metric Inflation: Source-Family Exposure Distorts Compression, Pretraining and Distillation Conclusions in Tomato Disease Detection</w:t>
      </w:r>
    </w:p>
    <w:p>
      <w:pPr>
        <w:spacing w:after="80"/>
        <w:jc w:val="center"/>
      </w:pPr>
      <w:r>
        <w:rPr>
          <w:sz w:val="20"/>
        </w:rPr>
        <w:t>[Author names] · [Affiliations] · Corresponding author: [e-mail]</w:t>
      </w:r>
    </w:p>
    <w:p>
      <w:pPr>
        <w:spacing w:after="280"/>
        <w:jc w:val="center"/>
      </w:pPr>
      <w:r>
        <w:rPr>
          <w:i/>
          <w:sz w:val="18"/>
        </w:rPr>
        <w:t>Draft manuscript, generated 13 October 2026. Bracketed items must be completed by the authors.</w:t>
      </w:r>
    </w:p>
    <w:p>
      <w:pPr>
        <w:pStyle w:val="Heading1"/>
      </w:pPr>
      <w:r>
        <w:t>Abstract</w:t>
      </w:r>
    </w:p>
    <w:p>
      <w:pPr>
        <w:jc w:val="both"/>
      </w:pPr>
      <w:r>
        <w:t>Image-based plant-disease benchmarks are often distributed with offline augmented copies of each source photograph, and random file-level splits then place siblings of the same photograph in training and evaluation partitions. Prior work treats this mainly as score inflation. We ask whether it also changes the engineering conclusions drawn from a benchmark. Using the Tomato-Village object-detection data (14,368 files from 1,796 source photographs; every official validation file has a training sibling), we built a source-family-aware split and two development evaluation arms: a source-exposed arm and a source-independent arm. With five paired seeds and pre-registered decision rules we measured the effect of uniform width compression of YOLO11n, a localization-motivated width reallocation, COCO pretraining and localization-focused knowledge distillation under both arms. Source exposure magnified every estimated effect: shrinking to 0.50× width cost −12.2 AP under exposure but −1.8 AP under independent evaluation, and pretraining added +15.1 versus +3.9 AP. Under the same frozen selection rule, source-exposed validation rejected all reduced-width models, whereas source-independent validation selected a 1.57 M-parameter model (0.75× width) as equivalent to the 2.59 M-parameter model within ±1.5 AP. Error decomposition showed that the dominant failure is lesions that receive no nearby detection at all (about half of ground-truth boxes), not disease misclassification (≤1.8 errors per 100 boxes); compression increased fully missed lesions and hurt small lesions most in relative terms. Distillation from a pretrained teacher reduced fully missed lesions and tightened boxes, raising the 0.75× model by +0.95 AP (95% CI +0.21 to +1.69) on the independent arm. On a locked test set evaluated once after all selections were frozen, the distilled 1.57 M model reached 16.08 AP, similar to the 2.59 M scratch model (16.19 AP), while the pretrained full-width model remained best (17.27 AP). Source-family exposure therefore biases intervention estimates and can change the model one would deploy.</w:t>
      </w:r>
    </w:p>
    <w:p>
      <w:r>
        <w:rPr>
          <w:b/>
          <w:sz w:val="20"/>
        </w:rPr>
        <w:t>Keywords:</w:t>
      </w:r>
      <w:r>
        <w:rPr>
          <w:sz w:val="20"/>
        </w:rPr>
        <w:t xml:space="preserve"> data leakage; evaluation validity; object detection; plant disease; model compression; knowledge distillation; pre-registration; YOLO.</w:t>
      </w:r>
    </w:p>
    <w:p>
      <w:pPr>
        <w:pStyle w:val="Heading1"/>
      </w:pPr>
      <w:r>
        <w:t>1. Introduction</w:t>
      </w:r>
    </w:p>
    <w:p>
      <w:pPr>
        <w:jc w:val="both"/>
      </w:pPr>
      <w:r>
        <w:t>Field detection of foliar disease is a natural deployment target for compact one-stage detectors, and the literature on lightweight plant-disease detectors is large [ADD REFS]. Most of these studies are developed and compared on public benchmarks whose images were augmented offline before release: each source photograph is accompanied by rotated, flipped, cropped or photometrically altered copies, and the copies are then split at the file level. Siblings of one photograph can then sit in both the training and the evaluation partitions. The consequence usually discussed is that reported accuracy is inflated, which is a familiar form of data leakage [12, 13].</w:t>
      </w:r>
    </w:p>
    <w:p>
      <w:pPr>
        <w:jc w:val="both"/>
      </w:pPr>
      <w:r>
        <w:t xml:space="preserve">This paper asks a different question: does source exposure also bias the </w:t>
      </w:r>
      <w:r>
        <w:rPr>
          <w:i/>
        </w:rPr>
        <w:t>comparisons</w:t>
      </w:r>
      <w:r>
        <w:t xml:space="preserve"> that guide model design? If exposure magnifies the apparent benefit of more capacity, pretraining or an architectural change, then conclusions about which model to build and deploy may differ from those that an independent evaluation would support. We study this on Tomato-Village [1], a field-condition tomato disease detection dataset in which every source photograph is distributed as eight files.</w:t>
      </w:r>
    </w:p>
    <w:p>
      <w:pPr>
        <w:spacing w:after="40"/>
      </w:pPr>
      <w:r>
        <w:t>Our contributions are:</w:t>
      </w:r>
    </w:p>
    <w:p>
      <w:pPr>
        <w:pStyle w:val="ListBullet"/>
        <w:spacing w:after="40"/>
      </w:pPr>
      <w:r>
        <w:rPr>
          <w:b/>
        </w:rPr>
        <w:t>Leakage characterisation.</w:t>
      </w:r>
      <w:r>
        <w:t xml:space="preserve"> We show that every one of the 1,796 source photographs has exactly seven augmented siblings and that all 2,875 official validation files have a sibling in official training. We then build a family-aware split and paired source-exposed and source-independent development arms.</w:t>
      </w:r>
    </w:p>
    <w:p>
      <w:pPr>
        <w:pStyle w:val="ListBullet"/>
        <w:spacing w:after="40"/>
      </w:pPr>
      <w:r>
        <w:rPr>
          <w:b/>
        </w:rPr>
        <w:t>Decision distortion.</w:t>
      </w:r>
      <w:r>
        <w:t xml:space="preserve"> Across six interventions (three compression levels, a width reallocation, COCO pretraining and distillation), exposure magnified every estimated effect. Under one frozen non-inferiority rule, the exposed protocol keeps the 2.59 M model while the independent protocol selects a 1.57 M model.</w:t>
      </w:r>
    </w:p>
    <w:p>
      <w:pPr>
        <w:pStyle w:val="ListBullet"/>
        <w:spacing w:after="40"/>
      </w:pPr>
      <w:r>
        <w:rPr>
          <w:b/>
        </w:rPr>
        <w:t>Mechanism.</w:t>
      </w:r>
      <w:r>
        <w:t xml:space="preserve"> A TIDE-style error decomposition [4], an IoU sweep and a lesion-size analysis show that the dominant failure under independent evaluation is missed lesions, not misclassification, and that compression harms small lesions most in relative terms.</w:t>
      </w:r>
    </w:p>
    <w:p>
      <w:pPr>
        <w:pStyle w:val="ListBullet"/>
        <w:spacing w:after="40"/>
      </w:pPr>
      <w:r>
        <w:rPr>
          <w:b/>
        </w:rPr>
        <w:t>A compact model with localization-focused distillation.</w:t>
      </w:r>
      <w:r>
        <w:t xml:space="preserve"> Distilling box distributions and P3/P4 spatial attention from a pretrained teacher partly restores localization in the 0.75× model without changing its inference graph. On a locked test set it matches the full-width scratch model but not the pretrained one.</w:t>
      </w:r>
    </w:p>
    <w:p>
      <w:pPr>
        <w:pStyle w:val="ListBullet"/>
        <w:spacing w:after="40"/>
      </w:pPr>
      <w:r>
        <w:rPr>
          <w:b/>
        </w:rPr>
        <w:t>Evidentiary discipline.</w:t>
      </w:r>
      <w:r>
        <w:t xml:space="preserve"> Primary analyses were pre-registered with hashed scripts, the test set was evaluated once after model selection was locked, and post-hoc analyses were specified and hashed before computation.</w:t>
      </w:r>
    </w:p>
    <w:p>
      <w:pPr>
        <w:pStyle w:val="Heading1"/>
      </w:pPr>
      <w:r>
        <w:t>2. Related work</w:t>
      </w:r>
    </w:p>
    <w:p>
      <w:pPr>
        <w:jc w:val="both"/>
      </w:pPr>
      <w:r>
        <w:rPr>
          <w:b/>
        </w:rPr>
        <w:t>Leakage and evaluation validity.</w:t>
      </w:r>
      <w:r>
        <w:t xml:space="preserve"> Leakage, in which information unavailable at deployment time influences training or evaluation, is a recognised source of irreproducible machine-learning results [12, 13]. In plant pathology, studies using PlantVillage [14, 16] reported very high accuracies that later work attributed partly to acquisition artefacts and near-duplicate images [ADD REFS]. Group-aware splitting is the standard remedy when observations share a source. Our contribution is to measure how much the resulting bias propagates into </w:t>
      </w:r>
      <w:r>
        <w:rPr>
          <w:i/>
        </w:rPr>
        <w:t>treatment effects</w:t>
      </w:r>
      <w:r>
        <w:t xml:space="preserve"> and </w:t>
      </w:r>
      <w:r>
        <w:rPr>
          <w:i/>
        </w:rPr>
        <w:t>model-selection decisions</w:t>
      </w:r>
      <w:r>
        <w:t>, rather than only into absolute scores.</w:t>
      </w:r>
    </w:p>
    <w:p>
      <w:pPr>
        <w:jc w:val="both"/>
      </w:pPr>
      <w:r>
        <w:rPr>
          <w:b/>
        </w:rPr>
        <w:t>Lightweight detectors for plant disease.</w:t>
      </w:r>
      <w:r>
        <w:t xml:space="preserve"> Recent agricultural detectors combine YOLO-family backbones with attention modules, lightweight convolutions, modified necks or new box losses, typically reporting gains of a few AP points on random file-level splits [ADD REFS]. We use the YOLO11 family [2] and vary only width, one channel allocation, initialisation and the training loss, so that each effect can be attributed.</w:t>
      </w:r>
    </w:p>
    <w:p>
      <w:pPr>
        <w:jc w:val="both"/>
      </w:pPr>
      <w:r>
        <w:rPr>
          <w:b/>
        </w:rPr>
        <w:t>Distillation for detection.</w:t>
      </w:r>
      <w:r>
        <w:t xml:space="preserve"> Knowledge distillation [5] has been adapted to dense detectors through feature imitation and localization distillation of box distributions [6]. The latter builds on the discretised box representation of Generalized Focal Loss [7], which YOLO11 also uses (distribution focal loss). We combine box-distribution distillation with channel-free spatial attention transfer [8].</w:t>
      </w:r>
    </w:p>
    <w:p>
      <w:pPr>
        <w:jc w:val="both"/>
      </w:pPr>
      <w:r>
        <w:rPr>
          <w:b/>
        </w:rPr>
        <w:t>Error analysis.</w:t>
      </w:r>
      <w:r>
        <w:t xml:space="preserve"> TIDE [4] separates detection errors into classification, localization, duplicate, background and missed categories. We use a count-based variant at a fixed operating point.</w:t>
      </w:r>
    </w:p>
    <w:p>
      <w:pPr>
        <w:pStyle w:val="Heading1"/>
      </w:pPr>
      <w:r>
        <w:t>3. Materials and methods</w:t>
      </w:r>
    </w:p>
    <w:p>
      <w:pPr>
        <w:pStyle w:val="Heading2"/>
      </w:pPr>
      <w:r>
        <w:t>3.1 Data and source-family structure</w:t>
      </w:r>
    </w:p>
    <w:p>
      <w:pPr>
        <w:jc w:val="both"/>
      </w:pPr>
      <w:r>
        <w:t xml:space="preserve">We use Variant-c (object detection) of Tomato-Village [1]. The released files carry YOLO-format boxes for eight classes, two of which (Early Blight, Healthy) have no boxes. Files are named after their source photograph, with suffix _augN for derived copies. Grouping by source gives </w:t>
      </w:r>
      <w:r>
        <w:rPr>
          <w:b/>
        </w:rPr>
        <w:t>1,796 families, each with exactly eight files</w:t>
      </w:r>
      <w:r>
        <w:t xml:space="preserve"> (one original and seven copies; 14,368 files in total). The official split has 11,493 training and 2,875 validation files. 1,484 families span both partitions, and </w:t>
      </w:r>
      <w:r>
        <w:rPr>
          <w:b/>
        </w:rPr>
        <w:t>100% of validation files have a training sibling</w:t>
      </w:r>
      <w:r>
        <w:t>; there is no official test split.</w:t>
      </w:r>
    </w:p>
    <w:p>
      <w:pPr>
        <w:spacing w:after="40"/>
      </w:pPr>
      <w:r>
        <w:t>Comparing each copy's labels with its original's (box-matching tolerance 0.01 in normalised coordinates) classifies the 12,572 copies as follows. Photometric changes are invisible to labels.</w:t>
      </w:r>
    </w:p>
    <w:p>
      <w:pPr>
        <w:pStyle w:val="ListBullet"/>
        <w:spacing w:after="40"/>
      </w:pPr>
      <w:r>
        <w:t>32.7% label-identical (photometric only);</w:t>
      </w:r>
    </w:p>
    <w:p>
      <w:pPr>
        <w:pStyle w:val="ListBullet"/>
        <w:spacing w:after="40"/>
      </w:pPr>
      <w:r>
        <w:t>28.3% crop, scale or shift;</w:t>
      </w:r>
    </w:p>
    <w:p>
      <w:pPr>
        <w:pStyle w:val="ListBullet"/>
        <w:spacing w:after="40"/>
      </w:pPr>
      <w:r>
        <w:t>14.2% horizontal flip and 14.2% vertical flip;</w:t>
      </w:r>
    </w:p>
    <w:p>
      <w:pPr>
        <w:pStyle w:val="ListBullet"/>
        <w:spacing w:after="40"/>
      </w:pPr>
      <w:r>
        <w:t>7.2% 90° rotation and 3.5% 180° rotation.</w:t>
      </w:r>
    </w:p>
    <w:p>
      <w:pPr>
        <w:pStyle w:val="Heading2"/>
      </w:pPr>
      <w:r>
        <w:t>3.2 Family-aware split and evaluation arms</w:t>
      </w:r>
    </w:p>
    <w:p>
      <w:pPr>
        <w:jc w:val="both"/>
      </w:pPr>
      <w:r>
        <w:t>We grouped files by source photograph and merged near-duplicate photographs (difference hash, Hamming distance ≤ 4; 59 pairs, giving 1,740 clusters). We then split clusters 70/15/15, stratified by majority class. This gives 1,260 training photographs (10,080 files including their copies), 268 validation photographs and 268 test photographs (3,205 boxes, 261 clusters). Copies are kept in training only. The split manifest is released with the code.</w:t>
      </w:r>
    </w:p>
    <w:p>
      <w:pPr>
        <w:jc w:val="both"/>
      </w:pPr>
      <w:r>
        <w:t>For development we re-used the official validation files as two disjoint evaluation arms (Table 1). Both arms exclude every test family. They are scored from the same inference pass, so they differ only in which images enter the metric.</w:t>
      </w:r>
    </w:p>
    <w:p>
      <w:pPr>
        <w:keepNext/>
        <w:spacing w:after="60"/>
      </w:pPr>
      <w:r>
        <w:rPr>
          <w:b/>
          <w:sz w:val="19"/>
        </w:rPr>
        <w:t>Table 1.</w:t>
      </w:r>
      <w:r>
        <w:rPr>
          <w:sz w:val="19"/>
        </w:rPr>
        <w:t xml:space="preserve"> Development evaluation arms built from the official validation files.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814"/>
            <w:shd w:val="clear" w:color="auto" w:fill="E7ECF2"/>
          </w:tcPr>
          <w:p>
            <w:pPr>
              <w:spacing w:after="0"/>
            </w:pPr>
            <w:r>
              <w:rPr>
                <w:sz w:val="17"/>
              </w:rPr>
            </w:r>
            <w:r>
              <w:rPr>
                <w:b/>
                <w:sz w:val="17"/>
              </w:rPr>
              <w:t>Arm</w:t>
            </w:r>
          </w:p>
        </w:tc>
        <w:tc>
          <w:tcPr>
            <w:tcW w:type="dxa" w:w="4309"/>
            <w:shd w:val="clear" w:color="auto" w:fill="E7ECF2"/>
          </w:tcPr>
          <w:p>
            <w:pPr>
              <w:spacing w:after="0"/>
            </w:pPr>
            <w:r>
              <w:rPr>
                <w:sz w:val="17"/>
              </w:rPr>
            </w:r>
            <w:r>
              <w:rPr>
                <w:b/>
                <w:sz w:val="17"/>
              </w:rPr>
              <w:t>Definition</w:t>
            </w:r>
          </w:p>
        </w:tc>
        <w:tc>
          <w:tcPr>
            <w:tcW w:type="dxa" w:w="1020"/>
            <w:shd w:val="clear" w:color="auto" w:fill="E7ECF2"/>
          </w:tcPr>
          <w:p>
            <w:pPr>
              <w:spacing w:after="0"/>
            </w:pPr>
            <w:r>
              <w:rPr>
                <w:sz w:val="17"/>
              </w:rPr>
            </w:r>
            <w:r>
              <w:rPr>
                <w:b/>
                <w:sz w:val="17"/>
              </w:rPr>
              <w:t>Families</w:t>
            </w:r>
          </w:p>
        </w:tc>
        <w:tc>
          <w:tcPr>
            <w:tcW w:type="dxa" w:w="907"/>
            <w:shd w:val="clear" w:color="auto" w:fill="E7ECF2"/>
          </w:tcPr>
          <w:p>
            <w:pPr>
              <w:spacing w:after="0"/>
            </w:pPr>
            <w:r>
              <w:rPr>
                <w:sz w:val="17"/>
              </w:rPr>
            </w:r>
            <w:r>
              <w:rPr>
                <w:b/>
                <w:sz w:val="17"/>
              </w:rPr>
              <w:t>Files</w:t>
            </w:r>
          </w:p>
        </w:tc>
        <w:tc>
          <w:tcPr>
            <w:tcW w:type="dxa" w:w="907"/>
            <w:shd w:val="clear" w:color="auto" w:fill="E7ECF2"/>
          </w:tcPr>
          <w:p>
            <w:pPr>
              <w:spacing w:after="0"/>
            </w:pPr>
            <w:r>
              <w:rPr>
                <w:sz w:val="17"/>
              </w:rPr>
            </w:r>
            <w:r>
              <w:rPr>
                <w:b/>
                <w:sz w:val="17"/>
              </w:rPr>
              <w:t>Boxes</w:t>
            </w:r>
          </w:p>
        </w:tc>
      </w:tr>
      <w:tr>
        <w:tc>
          <w:tcPr>
            <w:tcW w:type="dxa" w:w="1814"/>
          </w:tcPr>
          <w:p>
            <w:pPr>
              <w:spacing w:after="0"/>
            </w:pPr>
            <w:r>
              <w:rPr>
                <w:sz w:val="17"/>
              </w:rPr>
            </w:r>
            <w:r>
              <w:rPr>
                <w:sz w:val="17"/>
              </w:rPr>
              <w:t>A: source-exposed</w:t>
            </w:r>
          </w:p>
        </w:tc>
        <w:tc>
          <w:tcPr>
            <w:tcW w:type="dxa" w:w="4309"/>
          </w:tcPr>
          <w:p>
            <w:pPr>
              <w:spacing w:after="0"/>
            </w:pPr>
            <w:r>
              <w:rPr>
                <w:sz w:val="17"/>
              </w:rPr>
            </w:r>
            <w:r>
              <w:rPr>
                <w:sz w:val="17"/>
              </w:rPr>
              <w:t>official-validation files whose source family is in our training split</w:t>
            </w:r>
          </w:p>
        </w:tc>
        <w:tc>
          <w:tcPr>
            <w:tcW w:type="dxa" w:w="1020"/>
          </w:tcPr>
          <w:p>
            <w:pPr>
              <w:spacing w:after="0"/>
            </w:pPr>
            <w:r>
              <w:rPr>
                <w:sz w:val="17"/>
              </w:rPr>
            </w:r>
            <w:r>
              <w:rPr>
                <w:sz w:val="17"/>
              </w:rPr>
              <w:t>1,047</w:t>
            </w:r>
          </w:p>
        </w:tc>
        <w:tc>
          <w:tcPr>
            <w:tcW w:type="dxa" w:w="907"/>
          </w:tcPr>
          <w:p>
            <w:pPr>
              <w:spacing w:after="0"/>
            </w:pPr>
            <w:r>
              <w:rPr>
                <w:sz w:val="17"/>
              </w:rPr>
            </w:r>
            <w:r>
              <w:rPr>
                <w:sz w:val="17"/>
              </w:rPr>
              <w:t>2,028</w:t>
            </w:r>
          </w:p>
        </w:tc>
        <w:tc>
          <w:tcPr>
            <w:tcW w:type="dxa" w:w="907"/>
          </w:tcPr>
          <w:p>
            <w:pPr>
              <w:spacing w:after="0"/>
            </w:pPr>
            <w:r>
              <w:rPr>
                <w:sz w:val="17"/>
              </w:rPr>
            </w:r>
            <w:r>
              <w:rPr>
                <w:sz w:val="17"/>
              </w:rPr>
              <w:t>23,225</w:t>
            </w:r>
          </w:p>
        </w:tc>
      </w:tr>
      <w:tr>
        <w:tc>
          <w:tcPr>
            <w:tcW w:type="dxa" w:w="1814"/>
          </w:tcPr>
          <w:p>
            <w:pPr>
              <w:spacing w:after="0"/>
            </w:pPr>
            <w:r>
              <w:rPr>
                <w:sz w:val="17"/>
              </w:rPr>
            </w:r>
            <w:r>
              <w:rPr>
                <w:sz w:val="17"/>
              </w:rPr>
              <w:t>B: source-independent</w:t>
            </w:r>
          </w:p>
        </w:tc>
        <w:tc>
          <w:tcPr>
            <w:tcW w:type="dxa" w:w="4309"/>
          </w:tcPr>
          <w:p>
            <w:pPr>
              <w:spacing w:after="0"/>
            </w:pPr>
            <w:r>
              <w:rPr>
                <w:sz w:val="17"/>
              </w:rPr>
            </w:r>
            <w:r>
              <w:rPr>
                <w:sz w:val="17"/>
              </w:rPr>
              <w:t>official-validation files whose source family is in our validation split</w:t>
            </w:r>
          </w:p>
        </w:tc>
        <w:tc>
          <w:tcPr>
            <w:tcW w:type="dxa" w:w="1020"/>
          </w:tcPr>
          <w:p>
            <w:pPr>
              <w:spacing w:after="0"/>
            </w:pPr>
            <w:r>
              <w:rPr>
                <w:sz w:val="17"/>
              </w:rPr>
            </w:r>
            <w:r>
              <w:rPr>
                <w:sz w:val="17"/>
              </w:rPr>
              <w:t>213</w:t>
            </w:r>
          </w:p>
        </w:tc>
        <w:tc>
          <w:tcPr>
            <w:tcW w:type="dxa" w:w="907"/>
          </w:tcPr>
          <w:p>
            <w:pPr>
              <w:spacing w:after="0"/>
            </w:pPr>
            <w:r>
              <w:rPr>
                <w:sz w:val="17"/>
              </w:rPr>
            </w:r>
            <w:r>
              <w:rPr>
                <w:sz w:val="17"/>
              </w:rPr>
              <w:t>411</w:t>
            </w:r>
          </w:p>
        </w:tc>
        <w:tc>
          <w:tcPr>
            <w:tcW w:type="dxa" w:w="907"/>
          </w:tcPr>
          <w:p>
            <w:pPr>
              <w:spacing w:after="0"/>
            </w:pPr>
            <w:r>
              <w:rPr>
                <w:sz w:val="17"/>
              </w:rPr>
            </w:r>
            <w:r>
              <w:rPr>
                <w:sz w:val="17"/>
              </w:rPr>
              <w:t>4,683</w:t>
            </w:r>
          </w:p>
        </w:tc>
      </w:tr>
    </w:tbl>
    <w:p>
      <w:pPr>
        <w:spacing w:after="160"/>
      </w:pPr>
      <w:r>
        <w:rPr>
          <w:sz w:val="17"/>
        </w:rPr>
        <w:t>Arm B is the primary development metric. Arm A reproduces how a random file-level split behaves.</w:t>
      </w:r>
    </w:p>
    <w:p>
      <w:pPr>
        <w:pStyle w:val="Heading2"/>
      </w:pPr>
      <w:r>
        <w:t>3.3 Models and training protocol</w:t>
      </w:r>
    </w:p>
    <w:p>
      <w:pPr>
        <w:jc w:val="both"/>
      </w:pPr>
      <w:r>
        <w:t>All models are Ultralytics YOLO11n [2] variants trained with one protocol (Table 2). The protocol (YOLO11n, 512 px, a fixed 24,570-update budget with a fixed checkpoint grid) was set in earlier development phases using validation data only (Section 3.6).</w:t>
      </w:r>
    </w:p>
    <w:p>
      <w:pPr>
        <w:keepNext/>
        <w:spacing w:after="60"/>
      </w:pPr>
      <w:r>
        <w:rPr>
          <w:b/>
          <w:sz w:val="19"/>
        </w:rPr>
        <w:t>Table 2.</w:t>
      </w:r>
      <w:r>
        <w:rPr>
          <w:sz w:val="19"/>
        </w:rPr>
        <w:t xml:space="preserve"> Training and evaluation protocol shared by all models.</w:t>
      </w:r>
    </w:p>
    <w:tbl>
      <w:tblPr>
        <w:tblStyle w:val="TableGrid"/>
        <w:tblW w:type="auto" w:w="0"/>
        <w:jc w:val="center"/>
        <w:tblLook w:firstColumn="1" w:firstRow="1" w:lastColumn="0" w:lastRow="0" w:noHBand="0" w:noVBand="1" w:val="04A0"/>
      </w:tblPr>
      <w:tblGrid>
        <w:gridCol w:w="4649"/>
        <w:gridCol w:w="4649"/>
      </w:tblGrid>
      <w:tr>
        <w:tc>
          <w:tcPr>
            <w:tcW w:type="dxa" w:w="1928"/>
            <w:shd w:val="clear" w:color="auto" w:fill="E7ECF2"/>
          </w:tcPr>
          <w:p>
            <w:pPr>
              <w:spacing w:after="0"/>
            </w:pPr>
            <w:r>
              <w:rPr>
                <w:sz w:val="17"/>
              </w:rPr>
            </w:r>
            <w:r>
              <w:rPr>
                <w:b/>
                <w:sz w:val="17"/>
              </w:rPr>
              <w:t>Setting</w:t>
            </w:r>
          </w:p>
        </w:tc>
        <w:tc>
          <w:tcPr>
            <w:tcW w:type="dxa" w:w="7030"/>
            <w:shd w:val="clear" w:color="auto" w:fill="E7ECF2"/>
          </w:tcPr>
          <w:p>
            <w:pPr>
              <w:spacing w:after="0"/>
            </w:pPr>
            <w:r>
              <w:rPr>
                <w:sz w:val="17"/>
              </w:rPr>
            </w:r>
            <w:r>
              <w:rPr>
                <w:b/>
                <w:sz w:val="17"/>
              </w:rPr>
              <w:t>Value</w:t>
            </w:r>
          </w:p>
        </w:tc>
      </w:tr>
      <w:tr>
        <w:tc>
          <w:tcPr>
            <w:tcW w:type="dxa" w:w="1928"/>
          </w:tcPr>
          <w:p>
            <w:pPr>
              <w:spacing w:after="0"/>
            </w:pPr>
            <w:r>
              <w:rPr>
                <w:sz w:val="17"/>
              </w:rPr>
            </w:r>
            <w:r>
              <w:rPr>
                <w:sz w:val="17"/>
              </w:rPr>
              <w:t>Detector / input</w:t>
            </w:r>
          </w:p>
        </w:tc>
        <w:tc>
          <w:tcPr>
            <w:tcW w:type="dxa" w:w="7030"/>
          </w:tcPr>
          <w:p>
            <w:pPr>
              <w:spacing w:after="0"/>
            </w:pPr>
            <w:r>
              <w:rPr>
                <w:sz w:val="17"/>
              </w:rPr>
            </w:r>
            <w:r>
              <w:rPr>
                <w:sz w:val="17"/>
              </w:rPr>
              <w:t>YOLO11n family, 512 × 512</w:t>
            </w:r>
          </w:p>
        </w:tc>
      </w:tr>
      <w:tr>
        <w:tc>
          <w:tcPr>
            <w:tcW w:type="dxa" w:w="1928"/>
          </w:tcPr>
          <w:p>
            <w:pPr>
              <w:spacing w:after="0"/>
            </w:pPr>
            <w:r>
              <w:rPr>
                <w:sz w:val="17"/>
              </w:rPr>
            </w:r>
            <w:r>
              <w:rPr>
                <w:sz w:val="17"/>
              </w:rPr>
              <w:t>Optimiser</w:t>
            </w:r>
          </w:p>
        </w:tc>
        <w:tc>
          <w:tcPr>
            <w:tcW w:type="dxa" w:w="7030"/>
          </w:tcPr>
          <w:p>
            <w:pPr>
              <w:spacing w:after="0"/>
            </w:pPr>
            <w:r>
              <w:rPr>
                <w:sz w:val="17"/>
              </w:rPr>
            </w:r>
            <w:r>
              <w:rPr>
                <w:sz w:val="17"/>
              </w:rPr>
              <w:t>SGD, lr0 = 0.01, final lr factor 0.01 (linear), momentum 0.937, weight decay 5×10⁻⁴</w:t>
            </w:r>
          </w:p>
        </w:tc>
      </w:tr>
      <w:tr>
        <w:tc>
          <w:tcPr>
            <w:tcW w:type="dxa" w:w="1928"/>
          </w:tcPr>
          <w:p>
            <w:pPr>
              <w:spacing w:after="0"/>
            </w:pPr>
            <w:r>
              <w:rPr>
                <w:sz w:val="17"/>
              </w:rPr>
            </w:r>
            <w:r>
              <w:rPr>
                <w:sz w:val="17"/>
              </w:rPr>
              <w:t>Batch / budget</w:t>
            </w:r>
          </w:p>
        </w:tc>
        <w:tc>
          <w:tcPr>
            <w:tcW w:type="dxa" w:w="7030"/>
          </w:tcPr>
          <w:p>
            <w:pPr>
              <w:spacing w:after="0"/>
            </w:pPr>
            <w:r>
              <w:rPr>
                <w:sz w:val="17"/>
              </w:rPr>
            </w:r>
            <w:r>
              <w:rPr>
                <w:sz w:val="17"/>
              </w:rPr>
              <w:t>16 (nominal 64) · 39 epochs × 630 steps = 24,570 updates · 933 warm-up updates · mosaic off for the last 5 epochs</w:t>
            </w:r>
          </w:p>
        </w:tc>
      </w:tr>
      <w:tr>
        <w:tc>
          <w:tcPr>
            <w:tcW w:type="dxa" w:w="1928"/>
          </w:tcPr>
          <w:p>
            <w:pPr>
              <w:spacing w:after="0"/>
            </w:pPr>
            <w:r>
              <w:rPr>
                <w:sz w:val="17"/>
              </w:rPr>
            </w:r>
            <w:r>
              <w:rPr>
                <w:sz w:val="17"/>
              </w:rPr>
              <w:t>Other</w:t>
            </w:r>
          </w:p>
        </w:tc>
        <w:tc>
          <w:tcPr>
            <w:tcW w:type="dxa" w:w="7030"/>
          </w:tcPr>
          <w:p>
            <w:pPr>
              <w:spacing w:after="0"/>
            </w:pPr>
            <w:r>
              <w:rPr>
                <w:sz w:val="17"/>
              </w:rPr>
            </w:r>
            <w:r>
              <w:rPr>
                <w:sz w:val="17"/>
              </w:rPr>
              <w:t>Early stopping disabled · mixed precision · deterministic seeding · default Ultralytics augmentation</w:t>
            </w:r>
          </w:p>
        </w:tc>
      </w:tr>
      <w:tr>
        <w:tc>
          <w:tcPr>
            <w:tcW w:type="dxa" w:w="1928"/>
          </w:tcPr>
          <w:p>
            <w:pPr>
              <w:spacing w:after="0"/>
            </w:pPr>
            <w:r>
              <w:rPr>
                <w:sz w:val="17"/>
              </w:rPr>
            </w:r>
            <w:r>
              <w:rPr>
                <w:sz w:val="17"/>
              </w:rPr>
              <w:t>Checkpoints</w:t>
            </w:r>
          </w:p>
        </w:tc>
        <w:tc>
          <w:tcPr>
            <w:tcW w:type="dxa" w:w="7030"/>
          </w:tcPr>
          <w:p>
            <w:pPr>
              <w:spacing w:after="0"/>
            </w:pPr>
            <w:r>
              <w:rPr>
                <w:sz w:val="17"/>
              </w:rPr>
            </w:r>
            <w:r>
              <w:rPr>
                <w:sz w:val="17"/>
              </w:rPr>
              <w:t>Fixed at 6,300 / 11,970 / 18,270 / 24,570 updates; no best-validation selection</w:t>
            </w:r>
          </w:p>
        </w:tc>
      </w:tr>
      <w:tr>
        <w:tc>
          <w:tcPr>
            <w:tcW w:type="dxa" w:w="1928"/>
          </w:tcPr>
          <w:p>
            <w:pPr>
              <w:spacing w:after="0"/>
            </w:pPr>
            <w:r>
              <w:rPr>
                <w:sz w:val="17"/>
              </w:rPr>
            </w:r>
            <w:r>
              <w:rPr>
                <w:sz w:val="17"/>
              </w:rPr>
              <w:t>Seeds</w:t>
            </w:r>
          </w:p>
        </w:tc>
        <w:tc>
          <w:tcPr>
            <w:tcW w:type="dxa" w:w="7030"/>
          </w:tcPr>
          <w:p>
            <w:pPr>
              <w:spacing w:after="0"/>
            </w:pPr>
            <w:r>
              <w:rPr>
                <w:sz w:val="17"/>
              </w:rPr>
            </w:r>
            <w:r>
              <w:rPr>
                <w:sz w:val="17"/>
              </w:rPr>
              <w:t>0–4 for every model; comparisons are paired by seed</w:t>
            </w:r>
          </w:p>
        </w:tc>
      </w:tr>
      <w:tr>
        <w:tc>
          <w:tcPr>
            <w:tcW w:type="dxa" w:w="1928"/>
          </w:tcPr>
          <w:p>
            <w:pPr>
              <w:spacing w:after="0"/>
            </w:pPr>
            <w:r>
              <w:rPr>
                <w:sz w:val="17"/>
              </w:rPr>
            </w:r>
            <w:r>
              <w:rPr>
                <w:sz w:val="17"/>
              </w:rPr>
              <w:t>Inference</w:t>
            </w:r>
          </w:p>
        </w:tc>
        <w:tc>
          <w:tcPr>
            <w:tcW w:type="dxa" w:w="7030"/>
          </w:tcPr>
          <w:p>
            <w:pPr>
              <w:spacing w:after="0"/>
            </w:pPr>
            <w:r>
              <w:rPr>
                <w:sz w:val="17"/>
              </w:rPr>
            </w:r>
            <w:r>
              <w:rPr>
                <w:sz w:val="17"/>
              </w:rPr>
              <w:t>conf 0.001, NMS IoU 0.7, max 300 detections, top 100 per image, no test-time augmentation</w:t>
            </w:r>
          </w:p>
        </w:tc>
      </w:tr>
      <w:tr>
        <w:tc>
          <w:tcPr>
            <w:tcW w:type="dxa" w:w="1928"/>
          </w:tcPr>
          <w:p>
            <w:pPr>
              <w:spacing w:after="0"/>
            </w:pPr>
            <w:r>
              <w:rPr>
                <w:sz w:val="17"/>
              </w:rPr>
            </w:r>
            <w:r>
              <w:rPr>
                <w:sz w:val="17"/>
              </w:rPr>
              <w:t>Scorer</w:t>
            </w:r>
          </w:p>
        </w:tc>
        <w:tc>
          <w:tcPr>
            <w:tcW w:type="dxa" w:w="7030"/>
          </w:tcPr>
          <w:p>
            <w:pPr>
              <w:spacing w:after="0"/>
            </w:pPr>
            <w:r>
              <w:rPr>
                <w:sz w:val="17"/>
              </w:rPr>
            </w:r>
            <w:r>
              <w:rPr>
                <w:sz w:val="17"/>
              </w:rPr>
              <w:t>pycocotools AP@[.50:.95] [3], maxDets 100, 8 categories</w:t>
            </w:r>
          </w:p>
        </w:tc>
      </w:tr>
      <w:tr>
        <w:tc>
          <w:tcPr>
            <w:tcW w:type="dxa" w:w="1928"/>
          </w:tcPr>
          <w:p>
            <w:pPr>
              <w:spacing w:after="0"/>
            </w:pPr>
            <w:r>
              <w:rPr>
                <w:sz w:val="17"/>
              </w:rPr>
            </w:r>
            <w:r>
              <w:rPr>
                <w:sz w:val="17"/>
              </w:rPr>
              <w:t>Operating point</w:t>
            </w:r>
          </w:p>
        </w:tc>
        <w:tc>
          <w:tcPr>
            <w:tcW w:type="dxa" w:w="7030"/>
          </w:tcPr>
          <w:p>
            <w:pPr>
              <w:spacing w:after="0"/>
            </w:pPr>
            <w:r>
              <w:rPr>
                <w:sz w:val="17"/>
              </w:rPr>
            </w:r>
            <w:r>
              <w:rPr>
                <w:sz w:val="17"/>
              </w:rPr>
              <w:t>conf ≥ 0.25; greedy one-to-one matching at IoU 0.50 (strict 0.75). Localization recall = matched GT / all GT (class-agnostic); conditional class correctness = class-correct share of matched boxes</w:t>
            </w:r>
          </w:p>
        </w:tc>
      </w:tr>
    </w:tbl>
    <w:p>
      <w:pPr>
        <w:spacing w:after="40"/>
      </w:pPr>
    </w:p>
    <w:p>
      <w:pPr>
        <w:jc w:val="both"/>
      </w:pPr>
      <w:r>
        <w:rPr>
          <w:b/>
        </w:rPr>
        <w:t>Width.</w:t>
      </w:r>
      <w:r>
        <w:t xml:space="preserve"> Uniform channel width at 1.00×, 0.75×, 0.50× and 0.35× of YOLO11n, all trained from random initialisation. Initialising only some widths from COCO weights would confound width with initialisation: only 1.00× can load 98% of the pretrained parameters, against 8–23% for the narrower models.</w:t>
      </w:r>
    </w:p>
    <w:p>
      <w:pPr>
        <w:jc w:val="both"/>
      </w:pPr>
      <w:r>
        <w:rPr>
          <w:b/>
        </w:rPr>
        <w:t>LPWA-50.</w:t>
      </w:r>
      <w:r>
        <w:t xml:space="preserve"> This localization-preserving width allocation keeps the YOLO11n topology and moves channels from the stride-32 (P5) path to the stride-8/16 (P3/P4) paths. A parameter audit showed that the class branch is under 2% of parameters, and that the box branch is already floored at 64 channels at every width. So the reallocatable budget sits in the backbone and neck, not the head. The allocation was solved by a rule fixed in advance: largest P3/P4 multiplier subject to parameters ≤ 0.811 M (uniform 0.50×) and GFLOPs ≤ 2.0. This gave P3/P4 ×1.37 and P5 ×0.69, i.e. 0.787 M parameters and 1.965 GFLOPs.</w:t>
      </w:r>
    </w:p>
    <w:p>
      <w:pPr>
        <w:jc w:val="both"/>
      </w:pPr>
      <w:r>
        <w:rPr>
          <w:b/>
        </w:rPr>
        <w:t>Pretrained reference.</w:t>
      </w:r>
      <w:r>
        <w:t xml:space="preserve"> YOLO11n initialised from COCO weights and trained with the same protocol.</w:t>
      </w:r>
    </w:p>
    <w:p>
      <w:pPr>
        <w:spacing w:after="40"/>
        <w:jc w:val="both"/>
      </w:pPr>
      <w:r>
        <w:rPr>
          <w:b/>
        </w:rPr>
        <w:t>Localization-focused distillation.</w:t>
      </w:r>
      <w:r>
        <w:t xml:space="preserve"> The teacher is the pretrained 1.00× model (seed 0, final checkpoint), frozen. The student is the 0.75× model with an unchanged architecture and random initialisation identical to its baseline. The loss is</w:t>
      </w:r>
    </w:p>
    <w:p>
      <w:pPr>
        <w:jc w:val="center"/>
      </w:pPr>
      <w:r>
        <w:t>L = L_box + L_cls + L_dfl + λ_LD · g_dfl · L_LD + λ_AT · L_AT,</w:t>
      </w:r>
    </w:p>
    <w:p>
      <w:pPr>
        <w:spacing w:after="40"/>
      </w:pPr>
      <w:r>
        <w:t>where:</w:t>
      </w:r>
    </w:p>
    <w:p>
      <w:pPr>
        <w:pStyle w:val="ListBullet"/>
        <w:spacing w:after="40"/>
      </w:pPr>
      <w:r>
        <w:rPr>
          <w:b/>
        </w:rPr>
        <w:t>L_LD</w:t>
      </w:r>
      <w:r>
        <w:t xml:space="preserve"> is the KL divergence between teacher and student softmax distributions over the 16 DFL bins of each box side, averaged over the student's task-aligned-assigner foreground anchors [11] (temperature 1);</w:t>
      </w:r>
    </w:p>
    <w:p>
      <w:pPr>
        <w:pStyle w:val="ListBullet"/>
        <w:spacing w:after="40"/>
      </w:pPr>
      <w:r>
        <w:rPr>
          <w:b/>
        </w:rPr>
        <w:t>L_AT</w:t>
      </w:r>
      <w:r>
        <w:t xml:space="preserve"> sums, over P3 and P4, the squared distance between L2-normalised channel-mean squared activation maps [8]. These maps are channel-free, so no adapter layers are needed;</w:t>
      </w:r>
    </w:p>
    <w:p>
      <w:pPr>
        <w:pStyle w:val="ListBullet"/>
        <w:spacing w:after="40"/>
      </w:pPr>
      <w:r>
        <w:rPr>
          <w:b/>
        </w:rPr>
        <w:t>g_dfl</w:t>
      </w:r>
      <w:r>
        <w:t xml:space="preserve"> = 1.5 is the existing DFL gain, λ_LD = 1.0, and λ_AT = 1.25. λ_AT was set by a rule fixed before training: equal magnitude of the two distillation terms over the first ten training batches.</w:t>
      </w:r>
    </w:p>
    <w:p>
      <w:pPr>
        <w:jc w:val="both"/>
      </w:pPr>
      <w:r>
        <w:t>No class-logit distillation was used and no trainable parameters were added. A dry run confirmed two things: with both λ set to zero the training loss reproduces the ordinary trainer exactly over 20 batches, and the teacher receives no gradients.</w:t>
      </w:r>
    </w:p>
    <w:p>
      <w:pPr>
        <w:pStyle w:val="Heading2"/>
      </w:pPr>
      <w:r>
        <w:t>3.4 Statistics</w:t>
      </w:r>
    </w:p>
    <w:p>
      <w:pPr>
        <w:pStyle w:val="ListBullet"/>
        <w:spacing w:after="40"/>
      </w:pPr>
      <w:r>
        <w:rPr>
          <w:b/>
        </w:rPr>
        <w:t>Seed uncertainty:</w:t>
      </w:r>
      <w:r>
        <w:t xml:space="preserve"> paired t over five seeds (df = 4).</w:t>
      </w:r>
    </w:p>
    <w:p>
      <w:pPr>
        <w:pStyle w:val="ListBullet"/>
        <w:spacing w:after="40"/>
      </w:pPr>
      <w:r>
        <w:rPr>
          <w:b/>
        </w:rPr>
        <w:t>Evaluation-set uncertainty:</w:t>
      </w:r>
      <w:r>
        <w:t xml:space="preserve"> a source-family bootstrap with 1,000 resamples, in which all files of a family move together. It holds trained checkpoints fixed. The two sources are reported separately and never pooled.</w:t>
      </w:r>
    </w:p>
    <w:p>
      <w:pPr>
        <w:pStyle w:val="ListBullet"/>
        <w:spacing w:after="40"/>
      </w:pPr>
      <w:r>
        <w:rPr>
          <w:b/>
        </w:rPr>
        <w:t>Equivalence margin:</w:t>
      </w:r>
      <w:r>
        <w:t xml:space="preserve"> ±1.5 AP, set before Phase 15 from the median 5-seed paired standard deviation of arm-B AP differences across 45 earlier model pairs (0.84 AP). At ±1.0 AP equivalence would only be attainable for |Δ| &lt; 0.20.</w:t>
      </w:r>
    </w:p>
    <w:p>
      <w:pPr>
        <w:pStyle w:val="ListBullet"/>
        <w:spacing w:after="40"/>
      </w:pPr>
      <w:r>
        <w:rPr>
          <w:b/>
        </w:rPr>
        <w:t>Non-inferiority:</w:t>
      </w:r>
      <w:r>
        <w:t xml:space="preserve"> one-sided, Holm-corrected across the three reduced widths. A width is non-inferior when its Holm-rank-level lower confidence bound exceeds −1.5 AP.</w:t>
      </w:r>
    </w:p>
    <w:p>
      <w:pPr>
        <w:pStyle w:val="ListBullet"/>
        <w:spacing w:after="40"/>
      </w:pPr>
      <w:r>
        <w:rPr>
          <w:b/>
        </w:rPr>
        <w:t>Exposure distortion</w:t>
      </w:r>
      <w:r>
        <w:t xml:space="preserve"> of an intervention is D = Δ_A − Δ_B, where Δ is the paired effect on six-class AP. We emphasise absolute D and give ratios |Δ_A|/|Δ_B| only descriptively, because they are unstable when Δ_B is near zero.</w:t>
      </w:r>
    </w:p>
    <w:p>
      <w:pPr>
        <w:pStyle w:val="Heading2"/>
      </w:pPr>
      <w:r>
        <w:t>3.5 Evidentiary categories</w:t>
      </w:r>
    </w:p>
    <w:p>
      <w:pPr>
        <w:jc w:val="both"/>
      </w:pPr>
      <w:r>
        <w:t>Results fall into four categories, labelled throughout (Table 3).</w:t>
      </w:r>
    </w:p>
    <w:p>
      <w:pPr>
        <w:keepNext/>
        <w:spacing w:after="60"/>
      </w:pPr>
      <w:r>
        <w:rPr>
          <w:b/>
          <w:sz w:val="19"/>
        </w:rPr>
        <w:t>Table 3.</w:t>
      </w:r>
      <w:r>
        <w:rPr>
          <w:sz w:val="19"/>
        </w:rPr>
        <w:t xml:space="preserve"> Evidentiary status of each analysis.</w:t>
      </w:r>
    </w:p>
    <w:tbl>
      <w:tblPr>
        <w:tblStyle w:val="TableGrid"/>
        <w:tblW w:type="auto" w:w="0"/>
        <w:jc w:val="center"/>
        <w:tblLook w:firstColumn="1" w:firstRow="1" w:lastColumn="0" w:lastRow="0" w:noHBand="0" w:noVBand="1" w:val="04A0"/>
      </w:tblPr>
      <w:tblGrid>
        <w:gridCol w:w="3099"/>
        <w:gridCol w:w="3099"/>
        <w:gridCol w:w="3099"/>
      </w:tblGrid>
      <w:tr>
        <w:tc>
          <w:tcPr>
            <w:tcW w:type="dxa" w:w="2041"/>
            <w:shd w:val="clear" w:color="auto" w:fill="E7ECF2"/>
          </w:tcPr>
          <w:p>
            <w:pPr>
              <w:spacing w:after="0"/>
            </w:pPr>
            <w:r>
              <w:rPr>
                <w:sz w:val="17"/>
              </w:rPr>
            </w:r>
            <w:r>
              <w:rPr>
                <w:b/>
                <w:sz w:val="17"/>
              </w:rPr>
              <w:t>Category</w:t>
            </w:r>
          </w:p>
        </w:tc>
        <w:tc>
          <w:tcPr>
            <w:tcW w:type="dxa" w:w="3969"/>
            <w:shd w:val="clear" w:color="auto" w:fill="E7ECF2"/>
          </w:tcPr>
          <w:p>
            <w:pPr>
              <w:spacing w:after="0"/>
            </w:pPr>
            <w:r>
              <w:rPr>
                <w:sz w:val="17"/>
              </w:rPr>
            </w:r>
            <w:r>
              <w:rPr>
                <w:b/>
                <w:sz w:val="17"/>
              </w:rPr>
              <w:t>Analyses</w:t>
            </w:r>
          </w:p>
        </w:tc>
        <w:tc>
          <w:tcPr>
            <w:tcW w:type="dxa" w:w="2948"/>
            <w:shd w:val="clear" w:color="auto" w:fill="E7ECF2"/>
          </w:tcPr>
          <w:p>
            <w:pPr>
              <w:spacing w:after="0"/>
            </w:pPr>
            <w:r>
              <w:rPr>
                <w:sz w:val="17"/>
              </w:rPr>
            </w:r>
            <w:r>
              <w:rPr>
                <w:b/>
                <w:sz w:val="17"/>
              </w:rPr>
              <w:t>Safeguard</w:t>
            </w:r>
          </w:p>
        </w:tc>
      </w:tr>
      <w:tr>
        <w:tc>
          <w:tcPr>
            <w:tcW w:type="dxa" w:w="2041"/>
          </w:tcPr>
          <w:p>
            <w:pPr>
              <w:spacing w:after="0"/>
            </w:pPr>
            <w:r>
              <w:rPr>
                <w:sz w:val="17"/>
              </w:rPr>
            </w:r>
            <w:r>
              <w:rPr>
                <w:sz w:val="17"/>
              </w:rPr>
              <w:t>Prospective, pre-registered</w:t>
            </w:r>
          </w:p>
        </w:tc>
        <w:tc>
          <w:tcPr>
            <w:tcW w:type="dxa" w:w="3969"/>
          </w:tcPr>
          <w:p>
            <w:pPr>
              <w:spacing w:after="0"/>
            </w:pPr>
            <w:r>
              <w:rPr>
                <w:sz w:val="17"/>
              </w:rPr>
            </w:r>
            <w:r>
              <w:rPr>
                <w:sz w:val="17"/>
              </w:rPr>
              <w:t>Width non-inferiority (Phase 15); LPWA-50 gates (Phase 16A); distillation gate (Phase 17)</w:t>
            </w:r>
          </w:p>
        </w:tc>
        <w:tc>
          <w:tcPr>
            <w:tcW w:type="dxa" w:w="2948"/>
          </w:tcPr>
          <w:p>
            <w:pPr>
              <w:spacing w:after="0"/>
            </w:pPr>
            <w:r>
              <w:rPr>
                <w:sz w:val="17"/>
              </w:rPr>
            </w:r>
            <w:r>
              <w:rPr>
                <w:sz w:val="17"/>
              </w:rPr>
              <w:t>Rules, margins and script SHA-256 hashes frozen before training</w:t>
            </w:r>
          </w:p>
        </w:tc>
      </w:tr>
      <w:tr>
        <w:tc>
          <w:tcPr>
            <w:tcW w:type="dxa" w:w="2041"/>
          </w:tcPr>
          <w:p>
            <w:pPr>
              <w:spacing w:after="0"/>
            </w:pPr>
            <w:r>
              <w:rPr>
                <w:sz w:val="17"/>
              </w:rPr>
            </w:r>
            <w:r>
              <w:rPr>
                <w:sz w:val="17"/>
              </w:rPr>
              <w:t>Locked test</w:t>
            </w:r>
          </w:p>
        </w:tc>
        <w:tc>
          <w:tcPr>
            <w:tcW w:type="dxa" w:w="3969"/>
          </w:tcPr>
          <w:p>
            <w:pPr>
              <w:spacing w:after="0"/>
            </w:pPr>
            <w:r>
              <w:rPr>
                <w:sz w:val="17"/>
              </w:rPr>
            </w:r>
            <w:r>
              <w:rPr>
                <w:sz w:val="17"/>
              </w:rPr>
              <w:t>One evaluation of four models × five seeds</w:t>
            </w:r>
          </w:p>
        </w:tc>
        <w:tc>
          <w:tcPr>
            <w:tcW w:type="dxa" w:w="2948"/>
          </w:tcPr>
          <w:p>
            <w:pPr>
              <w:spacing w:after="0"/>
            </w:pPr>
            <w:r>
              <w:rPr>
                <w:sz w:val="17"/>
              </w:rPr>
            </w:r>
            <w:r>
              <w:rPr>
                <w:sz w:val="17"/>
              </w:rPr>
              <w:t>Checkpoints and settings hashed; run lock; no gate and no selection</w:t>
            </w:r>
          </w:p>
        </w:tc>
      </w:tr>
      <w:tr>
        <w:tc>
          <w:tcPr>
            <w:tcW w:type="dxa" w:w="2041"/>
          </w:tcPr>
          <w:p>
            <w:pPr>
              <w:spacing w:after="0"/>
            </w:pPr>
            <w:r>
              <w:rPr>
                <w:sz w:val="17"/>
              </w:rPr>
            </w:r>
            <w:r>
              <w:rPr>
                <w:sz w:val="17"/>
              </w:rPr>
              <w:t>Post-hoc, plan hashed</w:t>
            </w:r>
          </w:p>
        </w:tc>
        <w:tc>
          <w:tcPr>
            <w:tcW w:type="dxa" w:w="3969"/>
          </w:tcPr>
          <w:p>
            <w:pPr>
              <w:spacing w:after="0"/>
            </w:pPr>
            <w:r>
              <w:rPr>
                <w:sz w:val="17"/>
              </w:rPr>
            </w:r>
            <w:r>
              <w:rPr>
                <w:sz w:val="17"/>
              </w:rPr>
              <w:t>Error decomposition, IoU sweep, operating curves, calibration, protocol decision comparison</w:t>
            </w:r>
          </w:p>
        </w:tc>
        <w:tc>
          <w:tcPr>
            <w:tcW w:type="dxa" w:w="2948"/>
          </w:tcPr>
          <w:p>
            <w:pPr>
              <w:spacing w:after="0"/>
            </w:pPr>
            <w:r>
              <w:rPr>
                <w:sz w:val="17"/>
              </w:rPr>
            </w:r>
            <w:r>
              <w:rPr>
                <w:sz w:val="17"/>
              </w:rPr>
              <w:t>Written and hashed after the primary experiments but before computation; development arms only</w:t>
            </w:r>
          </w:p>
        </w:tc>
      </w:tr>
      <w:tr>
        <w:tc>
          <w:tcPr>
            <w:tcW w:type="dxa" w:w="2041"/>
          </w:tcPr>
          <w:p>
            <w:pPr>
              <w:spacing w:after="0"/>
            </w:pPr>
            <w:r>
              <w:rPr>
                <w:sz w:val="17"/>
              </w:rPr>
            </w:r>
            <w:r>
              <w:rPr>
                <w:sz w:val="17"/>
              </w:rPr>
              <w:t>Exploratory</w:t>
            </w:r>
          </w:p>
        </w:tc>
        <w:tc>
          <w:tcPr>
            <w:tcW w:type="dxa" w:w="3969"/>
          </w:tcPr>
          <w:p>
            <w:pPr>
              <w:spacing w:after="0"/>
            </w:pPr>
            <w:r>
              <w:rPr>
                <w:sz w:val="17"/>
              </w:rPr>
            </w:r>
            <w:r>
              <w:rPr>
                <w:sz w:val="17"/>
              </w:rPr>
              <w:t>Pretraining contrast; size thresholds; per-class effects; copy-type breakdown</w:t>
            </w:r>
          </w:p>
        </w:tc>
        <w:tc>
          <w:tcPr>
            <w:tcW w:type="dxa" w:w="2948"/>
          </w:tcPr>
          <w:p>
            <w:pPr>
              <w:spacing w:after="0"/>
            </w:pPr>
            <w:r>
              <w:rPr>
                <w:sz w:val="17"/>
              </w:rPr>
            </w:r>
            <w:r>
              <w:rPr>
                <w:sz w:val="17"/>
              </w:rPr>
              <w:t>Labelled exploratory; pretraining-analysis plan written before scoring</w:t>
            </w:r>
          </w:p>
        </w:tc>
      </w:tr>
    </w:tbl>
    <w:p>
      <w:pPr>
        <w:spacing w:after="40"/>
      </w:pPr>
    </w:p>
    <w:p>
      <w:pPr>
        <w:pStyle w:val="Heading2"/>
      </w:pPr>
      <w:r>
        <w:t>3.6 Development history and test-set disclosure</w:t>
      </w:r>
    </w:p>
    <w:p>
      <w:pPr>
        <w:spacing w:after="40"/>
        <w:jc w:val="both"/>
      </w:pPr>
      <w:r>
        <w:t>This study grew out of an attempt to improve YOLO necks with a gated detail–context fusion module. Under the family-aware split that module gave no benefit:</w:t>
      </w:r>
    </w:p>
    <w:p>
      <w:pPr>
        <w:pStyle w:val="ListBullet"/>
        <w:spacing w:after="40"/>
      </w:pPr>
      <w:r>
        <w:t>YOLO11s −0.4 AP (p = 0.75);</w:t>
      </w:r>
    </w:p>
    <w:p>
      <w:pPr>
        <w:pStyle w:val="ListBullet"/>
        <w:spacing w:after="40"/>
      </w:pPr>
      <w:r>
        <w:t>5-fold grouped cross-validation 19.9 vs 20.1 AP;</w:t>
      </w:r>
    </w:p>
    <w:p>
      <w:pPr>
        <w:pStyle w:val="ListBullet"/>
        <w:spacing w:after="40"/>
      </w:pPr>
      <w:r>
        <w:t>its learned gate stayed at α ≈ 0.50 everywhere.</w:t>
      </w:r>
    </w:p>
    <w:p>
      <w:pPr>
        <w:jc w:val="both"/>
      </w:pPr>
      <w:r>
        <w:t>Subsequent development phases, all evaluated on validation data, chose YOLO11n over larger variants (no meaningful gain from size), 512 px input (equivalent to 640 px at ~64% of the GFLOPs) and the full three-scale head.</w:t>
      </w:r>
    </w:p>
    <w:p>
      <w:pPr>
        <w:jc w:val="both"/>
      </w:pPr>
      <w:r>
        <w:t xml:space="preserve">The original pipeline from that early phase automatically scored the family-aware test split for those earlier models, and one further test evaluation was made of 15 YOLO11s checkpoints. </w:t>
      </w:r>
      <w:r>
        <w:rPr>
          <w:b/>
        </w:rPr>
        <w:t>None of the models reported here, and no protocol choice from the YOLO11n phases onward, was scored on or selected with the test split.</w:t>
      </w:r>
      <w:r>
        <w:t xml:space="preserve"> We therefore describe the test set as </w:t>
      </w:r>
      <w:r>
        <w:rPr>
          <w:i/>
        </w:rPr>
        <w:t>held out from all models and decisions reported in this paper</w:t>
      </w:r>
      <w:r>
        <w:t>, not as never opened.</w:t>
      </w:r>
    </w:p>
    <w:p>
      <w:pPr>
        <w:pStyle w:val="Heading1"/>
      </w:pPr>
      <w:r>
        <w:t>4. Results</w:t>
      </w:r>
    </w:p>
    <w:p>
      <w:pPr>
        <w:pStyle w:val="Heading2"/>
      </w:pPr>
      <w:r>
        <w:t>4.1 Width compression under independent evaluation</w:t>
      </w:r>
    </w:p>
    <w:p>
      <w:pPr>
        <w:keepNext/>
        <w:spacing w:after="60"/>
      </w:pPr>
      <w:r>
        <w:rPr>
          <w:b/>
          <w:sz w:val="19"/>
        </w:rPr>
        <w:t>Table 4.</w:t>
      </w:r>
      <w:r>
        <w:rPr>
          <w:sz w:val="19"/>
        </w:rPr>
        <w:t xml:space="preserve"> Width compression (arm B, 24,570 updates, mean ± SD over 5 seeds). Δ is versus 1.00×; LCB is the Holm-adjusted one-sided lower confidence bound.</w:t>
      </w:r>
    </w:p>
    <w:tbl>
      <w:tblPr>
        <w:tblStyle w:val="TableGrid"/>
        <w:tblW w:type="auto" w:w="0"/>
        <w:jc w:val="center"/>
        <w:tblLook w:firstColumn="1" w:firstRow="1" w:lastColumn="0" w:lastRow="0" w:noHBand="0" w:noVBand="1" w:val="04A0"/>
      </w:tblPr>
      <w:tblGrid>
        <w:gridCol w:w="1162"/>
        <w:gridCol w:w="1162"/>
        <w:gridCol w:w="1162"/>
        <w:gridCol w:w="1162"/>
        <w:gridCol w:w="1162"/>
        <w:gridCol w:w="1162"/>
        <w:gridCol w:w="1162"/>
        <w:gridCol w:w="1162"/>
      </w:tblGrid>
      <w:tr>
        <w:tc>
          <w:tcPr>
            <w:tcW w:type="dxa" w:w="794"/>
            <w:shd w:val="clear" w:color="auto" w:fill="E7ECF2"/>
          </w:tcPr>
          <w:p>
            <w:pPr>
              <w:spacing w:after="0"/>
            </w:pPr>
            <w:r>
              <w:rPr>
                <w:sz w:val="17"/>
              </w:rPr>
            </w:r>
            <w:r>
              <w:rPr>
                <w:b/>
                <w:sz w:val="17"/>
              </w:rPr>
              <w:t>Width</w:t>
            </w:r>
          </w:p>
        </w:tc>
        <w:tc>
          <w:tcPr>
            <w:tcW w:type="dxa" w:w="850"/>
            <w:shd w:val="clear" w:color="auto" w:fill="E7ECF2"/>
          </w:tcPr>
          <w:p>
            <w:pPr>
              <w:spacing w:after="0"/>
            </w:pPr>
            <w:r>
              <w:rPr>
                <w:sz w:val="17"/>
              </w:rPr>
            </w:r>
            <w:r>
              <w:rPr>
                <w:b/>
                <w:sz w:val="17"/>
              </w:rPr>
              <w:t>Params</w:t>
            </w:r>
          </w:p>
        </w:tc>
        <w:tc>
          <w:tcPr>
            <w:tcW w:type="dxa" w:w="794"/>
            <w:shd w:val="clear" w:color="auto" w:fill="E7ECF2"/>
          </w:tcPr>
          <w:p>
            <w:pPr>
              <w:spacing w:after="0"/>
            </w:pPr>
            <w:r>
              <w:rPr>
                <w:sz w:val="17"/>
              </w:rPr>
            </w:r>
            <w:r>
              <w:rPr>
                <w:b/>
                <w:sz w:val="17"/>
              </w:rPr>
              <w:t>GFLOPs</w:t>
            </w:r>
          </w:p>
        </w:tc>
        <w:tc>
          <w:tcPr>
            <w:tcW w:type="dxa" w:w="1304"/>
            <w:shd w:val="clear" w:color="auto" w:fill="E7ECF2"/>
          </w:tcPr>
          <w:p>
            <w:pPr>
              <w:spacing w:after="0"/>
            </w:pPr>
            <w:r>
              <w:rPr>
                <w:sz w:val="17"/>
              </w:rPr>
            </w:r>
            <w:r>
              <w:rPr>
                <w:b/>
                <w:sz w:val="17"/>
              </w:rPr>
              <w:t>AP arm B</w:t>
            </w:r>
          </w:p>
        </w:tc>
        <w:tc>
          <w:tcPr>
            <w:tcW w:type="dxa" w:w="737"/>
            <w:shd w:val="clear" w:color="auto" w:fill="E7ECF2"/>
          </w:tcPr>
          <w:p>
            <w:pPr>
              <w:spacing w:after="0"/>
            </w:pPr>
            <w:r>
              <w:rPr>
                <w:sz w:val="17"/>
              </w:rPr>
            </w:r>
            <w:r>
              <w:rPr>
                <w:b/>
                <w:sz w:val="17"/>
              </w:rPr>
              <w:t>Δ</w:t>
            </w:r>
          </w:p>
        </w:tc>
        <w:tc>
          <w:tcPr>
            <w:tcW w:type="dxa" w:w="737"/>
            <w:shd w:val="clear" w:color="auto" w:fill="E7ECF2"/>
          </w:tcPr>
          <w:p>
            <w:pPr>
              <w:spacing w:after="0"/>
            </w:pPr>
            <w:r>
              <w:rPr>
                <w:sz w:val="17"/>
              </w:rPr>
            </w:r>
            <w:r>
              <w:rPr>
                <w:b/>
                <w:sz w:val="17"/>
              </w:rPr>
              <w:t>LCB</w:t>
            </w:r>
          </w:p>
        </w:tc>
        <w:tc>
          <w:tcPr>
            <w:tcW w:type="dxa" w:w="2381"/>
            <w:shd w:val="clear" w:color="auto" w:fill="E7ECF2"/>
          </w:tcPr>
          <w:p>
            <w:pPr>
              <w:spacing w:after="0"/>
            </w:pPr>
            <w:r>
              <w:rPr>
                <w:sz w:val="17"/>
              </w:rPr>
            </w:r>
            <w:r>
              <w:rPr>
                <w:b/>
                <w:sz w:val="17"/>
              </w:rPr>
              <w:t>Verdict (margin −1.5)</w:t>
            </w:r>
          </w:p>
        </w:tc>
        <w:tc>
          <w:tcPr>
            <w:tcW w:type="dxa" w:w="907"/>
            <w:shd w:val="clear" w:color="auto" w:fill="E7ECF2"/>
          </w:tcPr>
          <w:p>
            <w:pPr>
              <w:spacing w:after="0"/>
            </w:pPr>
            <w:r>
              <w:rPr>
                <w:sz w:val="17"/>
              </w:rPr>
            </w:r>
            <w:r>
              <w:rPr>
                <w:b/>
                <w:sz w:val="17"/>
              </w:rPr>
              <w:t>AP arm A</w:t>
            </w:r>
          </w:p>
        </w:tc>
      </w:tr>
      <w:tr>
        <w:tc>
          <w:tcPr>
            <w:tcW w:type="dxa" w:w="794"/>
          </w:tcPr>
          <w:p>
            <w:pPr>
              <w:spacing w:after="0"/>
            </w:pPr>
            <w:r>
              <w:rPr>
                <w:sz w:val="17"/>
              </w:rPr>
            </w:r>
            <w:r>
              <w:rPr>
                <w:sz w:val="17"/>
              </w:rPr>
              <w:t>1.00×</w:t>
            </w:r>
          </w:p>
        </w:tc>
        <w:tc>
          <w:tcPr>
            <w:tcW w:type="dxa" w:w="850"/>
          </w:tcPr>
          <w:p>
            <w:pPr>
              <w:spacing w:after="0"/>
            </w:pPr>
            <w:r>
              <w:rPr>
                <w:sz w:val="17"/>
              </w:rPr>
            </w:r>
            <w:r>
              <w:rPr>
                <w:sz w:val="17"/>
              </w:rPr>
              <w:t>2.59 M</w:t>
            </w:r>
          </w:p>
        </w:tc>
        <w:tc>
          <w:tcPr>
            <w:tcW w:type="dxa" w:w="794"/>
          </w:tcPr>
          <w:p>
            <w:pPr>
              <w:spacing w:after="0"/>
            </w:pPr>
            <w:r>
              <w:rPr>
                <w:sz w:val="17"/>
              </w:rPr>
            </w:r>
            <w:r>
              <w:rPr>
                <w:sz w:val="17"/>
              </w:rPr>
              <w:t>4.15</w:t>
            </w:r>
          </w:p>
        </w:tc>
        <w:tc>
          <w:tcPr>
            <w:tcW w:type="dxa" w:w="1304"/>
          </w:tcPr>
          <w:p>
            <w:pPr>
              <w:spacing w:after="0"/>
            </w:pPr>
            <w:r>
              <w:rPr>
                <w:sz w:val="17"/>
              </w:rPr>
            </w:r>
            <w:r>
              <w:rPr>
                <w:sz w:val="17"/>
              </w:rPr>
              <w:t>13.65 ± 0.39</w:t>
            </w:r>
          </w:p>
        </w:tc>
        <w:tc>
          <w:tcPr>
            <w:tcW w:type="dxa" w:w="737"/>
          </w:tcPr>
          <w:p>
            <w:pPr>
              <w:spacing w:after="0"/>
            </w:pPr>
            <w:r>
              <w:rPr>
                <w:sz w:val="17"/>
              </w:rPr>
            </w:r>
            <w:r>
              <w:rPr>
                <w:sz w:val="17"/>
              </w:rPr>
              <w:t>—</w:t>
            </w:r>
          </w:p>
        </w:tc>
        <w:tc>
          <w:tcPr>
            <w:tcW w:type="dxa" w:w="737"/>
          </w:tcPr>
          <w:p>
            <w:pPr>
              <w:spacing w:after="0"/>
            </w:pPr>
            <w:r>
              <w:rPr>
                <w:sz w:val="17"/>
              </w:rPr>
            </w:r>
            <w:r>
              <w:rPr>
                <w:sz w:val="17"/>
              </w:rPr>
              <w:t>—</w:t>
            </w:r>
          </w:p>
        </w:tc>
        <w:tc>
          <w:tcPr>
            <w:tcW w:type="dxa" w:w="2381"/>
          </w:tcPr>
          <w:p>
            <w:pPr>
              <w:spacing w:after="0"/>
            </w:pPr>
            <w:r>
              <w:rPr>
                <w:sz w:val="17"/>
              </w:rPr>
            </w:r>
            <w:r>
              <w:rPr>
                <w:sz w:val="17"/>
              </w:rPr>
              <w:t>reference</w:t>
            </w:r>
          </w:p>
        </w:tc>
        <w:tc>
          <w:tcPr>
            <w:tcW w:type="dxa" w:w="907"/>
          </w:tcPr>
          <w:p>
            <w:pPr>
              <w:spacing w:after="0"/>
            </w:pPr>
            <w:r>
              <w:rPr>
                <w:sz w:val="17"/>
              </w:rPr>
            </w:r>
            <w:r>
              <w:rPr>
                <w:sz w:val="17"/>
              </w:rPr>
              <w:t>29.76</w:t>
            </w:r>
          </w:p>
        </w:tc>
      </w:tr>
      <w:tr>
        <w:tc>
          <w:tcPr>
            <w:tcW w:type="dxa" w:w="794"/>
          </w:tcPr>
          <w:p>
            <w:pPr>
              <w:spacing w:after="0"/>
            </w:pPr>
            <w:r>
              <w:rPr>
                <w:sz w:val="17"/>
              </w:rPr>
            </w:r>
            <w:r>
              <w:rPr>
                <w:sz w:val="17"/>
              </w:rPr>
              <w:t>0.75×</w:t>
            </w:r>
          </w:p>
        </w:tc>
        <w:tc>
          <w:tcPr>
            <w:tcW w:type="dxa" w:w="850"/>
          </w:tcPr>
          <w:p>
            <w:pPr>
              <w:spacing w:after="0"/>
            </w:pPr>
            <w:r>
              <w:rPr>
                <w:sz w:val="17"/>
              </w:rPr>
            </w:r>
            <w:r>
              <w:rPr>
                <w:sz w:val="17"/>
              </w:rPr>
              <w:t>1.57 M</w:t>
            </w:r>
          </w:p>
        </w:tc>
        <w:tc>
          <w:tcPr>
            <w:tcW w:type="dxa" w:w="794"/>
          </w:tcPr>
          <w:p>
            <w:pPr>
              <w:spacing w:after="0"/>
            </w:pPr>
            <w:r>
              <w:rPr>
                <w:sz w:val="17"/>
              </w:rPr>
            </w:r>
            <w:r>
              <w:rPr>
                <w:sz w:val="17"/>
              </w:rPr>
              <w:t>2.71</w:t>
            </w:r>
          </w:p>
        </w:tc>
        <w:tc>
          <w:tcPr>
            <w:tcW w:type="dxa" w:w="1304"/>
          </w:tcPr>
          <w:p>
            <w:pPr>
              <w:spacing w:after="0"/>
            </w:pPr>
            <w:r>
              <w:rPr>
                <w:sz w:val="17"/>
              </w:rPr>
            </w:r>
            <w:r>
              <w:rPr>
                <w:sz w:val="17"/>
              </w:rPr>
              <w:t>13.34 ± 0.54</w:t>
            </w:r>
          </w:p>
        </w:tc>
        <w:tc>
          <w:tcPr>
            <w:tcW w:type="dxa" w:w="737"/>
          </w:tcPr>
          <w:p>
            <w:pPr>
              <w:spacing w:after="0"/>
            </w:pPr>
            <w:r>
              <w:rPr>
                <w:sz w:val="17"/>
              </w:rPr>
            </w:r>
            <w:r>
              <w:rPr>
                <w:sz w:val="17"/>
              </w:rPr>
              <w:t>−0.31</w:t>
            </w:r>
          </w:p>
        </w:tc>
        <w:tc>
          <w:tcPr>
            <w:tcW w:type="dxa" w:w="737"/>
          </w:tcPr>
          <w:p>
            <w:pPr>
              <w:spacing w:after="0"/>
            </w:pPr>
            <w:r>
              <w:rPr>
                <w:sz w:val="17"/>
              </w:rPr>
            </w:r>
            <w:r>
              <w:rPr>
                <w:sz w:val="17"/>
              </w:rPr>
              <w:t>−1.32</w:t>
            </w:r>
          </w:p>
        </w:tc>
        <w:tc>
          <w:tcPr>
            <w:tcW w:type="dxa" w:w="2381"/>
          </w:tcPr>
          <w:p>
            <w:pPr>
              <w:spacing w:after="0"/>
            </w:pPr>
            <w:r>
              <w:rPr>
                <w:sz w:val="17"/>
              </w:rPr>
            </w:r>
            <w:r>
              <w:rPr>
                <w:b/>
                <w:sz w:val="17"/>
              </w:rPr>
              <w:t>non-inferior</w:t>
            </w:r>
            <w:r>
              <w:rPr>
                <w:sz w:val="17"/>
              </w:rPr>
              <w:t xml:space="preserve"> (TOST-equivalent)</w:t>
            </w:r>
          </w:p>
        </w:tc>
        <w:tc>
          <w:tcPr>
            <w:tcW w:type="dxa" w:w="907"/>
          </w:tcPr>
          <w:p>
            <w:pPr>
              <w:spacing w:after="0"/>
            </w:pPr>
            <w:r>
              <w:rPr>
                <w:sz w:val="17"/>
              </w:rPr>
            </w:r>
            <w:r>
              <w:rPr>
                <w:sz w:val="17"/>
              </w:rPr>
              <w:t>23.96</w:t>
            </w:r>
          </w:p>
        </w:tc>
      </w:tr>
      <w:tr>
        <w:tc>
          <w:tcPr>
            <w:tcW w:type="dxa" w:w="794"/>
          </w:tcPr>
          <w:p>
            <w:pPr>
              <w:spacing w:after="0"/>
            </w:pPr>
            <w:r>
              <w:rPr>
                <w:sz w:val="17"/>
              </w:rPr>
            </w:r>
            <w:r>
              <w:rPr>
                <w:sz w:val="17"/>
              </w:rPr>
              <w:t>0.50×</w:t>
            </w:r>
          </w:p>
        </w:tc>
        <w:tc>
          <w:tcPr>
            <w:tcW w:type="dxa" w:w="850"/>
          </w:tcPr>
          <w:p>
            <w:pPr>
              <w:spacing w:after="0"/>
            </w:pPr>
            <w:r>
              <w:rPr>
                <w:sz w:val="17"/>
              </w:rPr>
            </w:r>
            <w:r>
              <w:rPr>
                <w:sz w:val="17"/>
              </w:rPr>
              <w:t>0.81 M</w:t>
            </w:r>
          </w:p>
        </w:tc>
        <w:tc>
          <w:tcPr>
            <w:tcW w:type="dxa" w:w="794"/>
          </w:tcPr>
          <w:p>
            <w:pPr>
              <w:spacing w:after="0"/>
            </w:pPr>
            <w:r>
              <w:rPr>
                <w:sz w:val="17"/>
              </w:rPr>
            </w:r>
            <w:r>
              <w:rPr>
                <w:sz w:val="17"/>
              </w:rPr>
              <w:t>1.55</w:t>
            </w:r>
          </w:p>
        </w:tc>
        <w:tc>
          <w:tcPr>
            <w:tcW w:type="dxa" w:w="1304"/>
          </w:tcPr>
          <w:p>
            <w:pPr>
              <w:spacing w:after="0"/>
            </w:pPr>
            <w:r>
              <w:rPr>
                <w:sz w:val="17"/>
              </w:rPr>
            </w:r>
            <w:r>
              <w:rPr>
                <w:sz w:val="17"/>
              </w:rPr>
              <w:t>11.85 ± 0.52</w:t>
            </w:r>
          </w:p>
        </w:tc>
        <w:tc>
          <w:tcPr>
            <w:tcW w:type="dxa" w:w="737"/>
          </w:tcPr>
          <w:p>
            <w:pPr>
              <w:spacing w:after="0"/>
            </w:pPr>
            <w:r>
              <w:rPr>
                <w:sz w:val="17"/>
              </w:rPr>
            </w:r>
            <w:r>
              <w:rPr>
                <w:sz w:val="17"/>
              </w:rPr>
              <w:t>−1.80</w:t>
            </w:r>
          </w:p>
        </w:tc>
        <w:tc>
          <w:tcPr>
            <w:tcW w:type="dxa" w:w="737"/>
          </w:tcPr>
          <w:p>
            <w:pPr>
              <w:spacing w:after="0"/>
            </w:pPr>
            <w:r>
              <w:rPr>
                <w:sz w:val="17"/>
              </w:rPr>
            </w:r>
            <w:r>
              <w:rPr>
                <w:sz w:val="17"/>
              </w:rPr>
              <w:t>−2.80</w:t>
            </w:r>
          </w:p>
        </w:tc>
        <w:tc>
          <w:tcPr>
            <w:tcW w:type="dxa" w:w="2381"/>
          </w:tcPr>
          <w:p>
            <w:pPr>
              <w:spacing w:after="0"/>
            </w:pPr>
            <w:r>
              <w:rPr>
                <w:sz w:val="17"/>
              </w:rPr>
            </w:r>
            <w:r>
              <w:rPr>
                <w:sz w:val="17"/>
              </w:rPr>
              <w:t>not established</w:t>
            </w:r>
          </w:p>
        </w:tc>
        <w:tc>
          <w:tcPr>
            <w:tcW w:type="dxa" w:w="907"/>
          </w:tcPr>
          <w:p>
            <w:pPr>
              <w:spacing w:after="0"/>
            </w:pPr>
            <w:r>
              <w:rPr>
                <w:sz w:val="17"/>
              </w:rPr>
            </w:r>
            <w:r>
              <w:rPr>
                <w:sz w:val="17"/>
              </w:rPr>
              <w:t>17.54</w:t>
            </w:r>
          </w:p>
        </w:tc>
      </w:tr>
      <w:tr>
        <w:tc>
          <w:tcPr>
            <w:tcW w:type="dxa" w:w="794"/>
          </w:tcPr>
          <w:p>
            <w:pPr>
              <w:spacing w:after="0"/>
            </w:pPr>
            <w:r>
              <w:rPr>
                <w:sz w:val="17"/>
              </w:rPr>
            </w:r>
            <w:r>
              <w:rPr>
                <w:sz w:val="17"/>
              </w:rPr>
              <w:t>0.35×</w:t>
            </w:r>
          </w:p>
        </w:tc>
        <w:tc>
          <w:tcPr>
            <w:tcW w:type="dxa" w:w="850"/>
          </w:tcPr>
          <w:p>
            <w:pPr>
              <w:spacing w:after="0"/>
            </w:pPr>
            <w:r>
              <w:rPr>
                <w:sz w:val="17"/>
              </w:rPr>
            </w:r>
            <w:r>
              <w:rPr>
                <w:sz w:val="17"/>
              </w:rPr>
              <w:t>0.54 M</w:t>
            </w:r>
          </w:p>
        </w:tc>
        <w:tc>
          <w:tcPr>
            <w:tcW w:type="dxa" w:w="794"/>
          </w:tcPr>
          <w:p>
            <w:pPr>
              <w:spacing w:after="0"/>
            </w:pPr>
            <w:r>
              <w:rPr>
                <w:sz w:val="17"/>
              </w:rPr>
            </w:r>
            <w:r>
              <w:rPr>
                <w:sz w:val="17"/>
              </w:rPr>
              <w:t>1.16</w:t>
            </w:r>
          </w:p>
        </w:tc>
        <w:tc>
          <w:tcPr>
            <w:tcW w:type="dxa" w:w="1304"/>
          </w:tcPr>
          <w:p>
            <w:pPr>
              <w:spacing w:after="0"/>
            </w:pPr>
            <w:r>
              <w:rPr>
                <w:sz w:val="17"/>
              </w:rPr>
            </w:r>
            <w:r>
              <w:rPr>
                <w:sz w:val="17"/>
              </w:rPr>
              <w:t>10.45 ± 0.89</w:t>
            </w:r>
          </w:p>
        </w:tc>
        <w:tc>
          <w:tcPr>
            <w:tcW w:type="dxa" w:w="737"/>
          </w:tcPr>
          <w:p>
            <w:pPr>
              <w:spacing w:after="0"/>
            </w:pPr>
            <w:r>
              <w:rPr>
                <w:sz w:val="17"/>
              </w:rPr>
            </w:r>
            <w:r>
              <w:rPr>
                <w:sz w:val="17"/>
              </w:rPr>
              <w:t>−3.20</w:t>
            </w:r>
          </w:p>
        </w:tc>
        <w:tc>
          <w:tcPr>
            <w:tcW w:type="dxa" w:w="737"/>
          </w:tcPr>
          <w:p>
            <w:pPr>
              <w:spacing w:after="0"/>
            </w:pPr>
            <w:r>
              <w:rPr>
                <w:sz w:val="17"/>
              </w:rPr>
            </w:r>
            <w:r>
              <w:rPr>
                <w:sz w:val="17"/>
              </w:rPr>
              <w:t>−3.95</w:t>
            </w:r>
          </w:p>
        </w:tc>
        <w:tc>
          <w:tcPr>
            <w:tcW w:type="dxa" w:w="2381"/>
          </w:tcPr>
          <w:p>
            <w:pPr>
              <w:spacing w:after="0"/>
            </w:pPr>
            <w:r>
              <w:rPr>
                <w:sz w:val="17"/>
              </w:rPr>
            </w:r>
            <w:r>
              <w:rPr>
                <w:sz w:val="17"/>
              </w:rPr>
              <w:t>not established</w:t>
            </w:r>
          </w:p>
        </w:tc>
        <w:tc>
          <w:tcPr>
            <w:tcW w:type="dxa" w:w="907"/>
          </w:tcPr>
          <w:p>
            <w:pPr>
              <w:spacing w:after="0"/>
            </w:pPr>
            <w:r>
              <w:rPr>
                <w:sz w:val="17"/>
              </w:rPr>
            </w:r>
            <w:r>
              <w:rPr>
                <w:sz w:val="17"/>
              </w:rPr>
              <w:t>13.21</w:t>
            </w:r>
          </w:p>
        </w:tc>
      </w:tr>
    </w:tbl>
    <w:p>
      <w:pPr>
        <w:spacing w:after="40"/>
      </w:pPr>
    </w:p>
    <w:p>
      <w:pPr>
        <w:jc w:val="both"/>
      </w:pPr>
      <w:r>
        <w:t>Only 0.75× met the pre-registered criterion (Table 4). It was also equivalent to 1.00× under two-sided TOST (Holm p = 0.030). Batch-16 GPU latency was flat across widths (6.6–7.1 ms); batch-1 CPU latency fell from 27 ms to 17 ms. The narrower models were still improving between 18,270 and 24,570 updates, so their results are fixed-budget results.</w:t>
      </w:r>
    </w:p>
    <w:p>
      <w:pPr>
        <w:pStyle w:val="Heading2"/>
      </w:pPr>
      <w:r>
        <w:t>4.2 The deployment decision depends on the evaluation protocol</w:t>
      </w:r>
    </w:p>
    <w:p>
      <w:pPr>
        <w:jc w:val="both"/>
      </w:pPr>
      <w:r>
        <w:t xml:space="preserve">Applying the identical frozen rule with arm-A instead of arm-B AP changes the selected model (Table 5, Figure 1). </w:t>
      </w:r>
      <w:r>
        <w:rPr>
          <w:b/>
        </w:rPr>
        <w:t>Under the same frozen model-selection rule, source-exposed validation rejected all reduced-width models, whereas source-independent validation selected the 1.57 M-parameter model.</w:t>
      </w:r>
    </w:p>
    <w:p>
      <w:pPr>
        <w:keepNext/>
        <w:spacing w:after="60"/>
      </w:pPr>
      <w:r>
        <w:rPr>
          <w:b/>
          <w:sz w:val="19"/>
        </w:rPr>
        <w:t>Table 5.</w:t>
      </w:r>
      <w:r>
        <w:rPr>
          <w:sz w:val="19"/>
        </w:rPr>
        <w:t xml:space="preserve"> Model selected by the Phase 15 rule under each validation protocol.</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814"/>
            <w:shd w:val="clear" w:color="auto" w:fill="E7ECF2"/>
          </w:tcPr>
          <w:p>
            <w:pPr>
              <w:spacing w:after="0"/>
            </w:pPr>
            <w:r>
              <w:rPr>
                <w:sz w:val="17"/>
              </w:rPr>
            </w:r>
            <w:r>
              <w:rPr>
                <w:b/>
                <w:sz w:val="17"/>
              </w:rPr>
              <w:t>Validation</w:t>
            </w:r>
          </w:p>
        </w:tc>
        <w:tc>
          <w:tcPr>
            <w:tcW w:type="dxa" w:w="1814"/>
            <w:shd w:val="clear" w:color="auto" w:fill="E7ECF2"/>
          </w:tcPr>
          <w:p>
            <w:pPr>
              <w:spacing w:after="0"/>
            </w:pPr>
            <w:r>
              <w:rPr>
                <w:sz w:val="17"/>
              </w:rPr>
            </w:r>
            <w:r>
              <w:rPr>
                <w:b/>
                <w:sz w:val="17"/>
              </w:rPr>
              <w:t>0.75× (Δ, LCB)</w:t>
            </w:r>
          </w:p>
        </w:tc>
        <w:tc>
          <w:tcPr>
            <w:tcW w:type="dxa" w:w="1701"/>
            <w:shd w:val="clear" w:color="auto" w:fill="E7ECF2"/>
          </w:tcPr>
          <w:p>
            <w:pPr>
              <w:spacing w:after="0"/>
            </w:pPr>
            <w:r>
              <w:rPr>
                <w:sz w:val="17"/>
              </w:rPr>
            </w:r>
            <w:r>
              <w:rPr>
                <w:b/>
                <w:sz w:val="17"/>
              </w:rPr>
              <w:t>0.50×</w:t>
            </w:r>
          </w:p>
        </w:tc>
        <w:tc>
          <w:tcPr>
            <w:tcW w:type="dxa" w:w="1701"/>
            <w:shd w:val="clear" w:color="auto" w:fill="E7ECF2"/>
          </w:tcPr>
          <w:p>
            <w:pPr>
              <w:spacing w:after="0"/>
            </w:pPr>
            <w:r>
              <w:rPr>
                <w:sz w:val="17"/>
              </w:rPr>
            </w:r>
            <w:r>
              <w:rPr>
                <w:b/>
                <w:sz w:val="17"/>
              </w:rPr>
              <w:t>0.35×</w:t>
            </w:r>
          </w:p>
        </w:tc>
        <w:tc>
          <w:tcPr>
            <w:tcW w:type="dxa" w:w="1928"/>
            <w:shd w:val="clear" w:color="auto" w:fill="E7ECF2"/>
          </w:tcPr>
          <w:p>
            <w:pPr>
              <w:spacing w:after="0"/>
            </w:pPr>
            <w:r>
              <w:rPr>
                <w:sz w:val="17"/>
              </w:rPr>
            </w:r>
            <w:r>
              <w:rPr>
                <w:b/>
                <w:sz w:val="17"/>
              </w:rPr>
              <w:t>Selected</w:t>
            </w:r>
          </w:p>
        </w:tc>
      </w:tr>
      <w:tr>
        <w:tc>
          <w:tcPr>
            <w:tcW w:type="dxa" w:w="1814"/>
          </w:tcPr>
          <w:p>
            <w:pPr>
              <w:spacing w:after="0"/>
            </w:pPr>
            <w:r>
              <w:rPr>
                <w:sz w:val="17"/>
              </w:rPr>
            </w:r>
            <w:r>
              <w:rPr>
                <w:sz w:val="17"/>
              </w:rPr>
              <w:t>Independent (arm B)</w:t>
            </w:r>
          </w:p>
        </w:tc>
        <w:tc>
          <w:tcPr>
            <w:tcW w:type="dxa" w:w="1814"/>
          </w:tcPr>
          <w:p>
            <w:pPr>
              <w:spacing w:after="0"/>
            </w:pPr>
            <w:r>
              <w:rPr>
                <w:sz w:val="17"/>
              </w:rPr>
            </w:r>
            <w:r>
              <w:rPr>
                <w:sz w:val="17"/>
              </w:rPr>
              <w:t>−0.31, −1.32 ✓</w:t>
            </w:r>
          </w:p>
        </w:tc>
        <w:tc>
          <w:tcPr>
            <w:tcW w:type="dxa" w:w="1701"/>
          </w:tcPr>
          <w:p>
            <w:pPr>
              <w:spacing w:after="0"/>
            </w:pPr>
            <w:r>
              <w:rPr>
                <w:sz w:val="17"/>
              </w:rPr>
            </w:r>
            <w:r>
              <w:rPr>
                <w:sz w:val="17"/>
              </w:rPr>
              <w:t>−1.80, −2.80 ✗</w:t>
            </w:r>
          </w:p>
        </w:tc>
        <w:tc>
          <w:tcPr>
            <w:tcW w:type="dxa" w:w="1701"/>
          </w:tcPr>
          <w:p>
            <w:pPr>
              <w:spacing w:after="0"/>
            </w:pPr>
            <w:r>
              <w:rPr>
                <w:sz w:val="17"/>
              </w:rPr>
            </w:r>
            <w:r>
              <w:rPr>
                <w:sz w:val="17"/>
              </w:rPr>
              <w:t>−3.20, −3.95 ✗</w:t>
            </w:r>
          </w:p>
        </w:tc>
        <w:tc>
          <w:tcPr>
            <w:tcW w:type="dxa" w:w="1928"/>
          </w:tcPr>
          <w:p>
            <w:pPr>
              <w:spacing w:after="0"/>
            </w:pPr>
            <w:r>
              <w:rPr>
                <w:sz w:val="17"/>
              </w:rPr>
            </w:r>
            <w:r>
              <w:rPr>
                <w:b/>
                <w:sz w:val="17"/>
              </w:rPr>
              <w:t>0.75× (1.57 M)</w:t>
            </w:r>
          </w:p>
        </w:tc>
      </w:tr>
      <w:tr>
        <w:tc>
          <w:tcPr>
            <w:tcW w:type="dxa" w:w="1814"/>
          </w:tcPr>
          <w:p>
            <w:pPr>
              <w:spacing w:after="0"/>
            </w:pPr>
            <w:r>
              <w:rPr>
                <w:sz w:val="17"/>
              </w:rPr>
            </w:r>
            <w:r>
              <w:rPr>
                <w:sz w:val="17"/>
              </w:rPr>
              <w:t>Exposed (arm A)</w:t>
            </w:r>
          </w:p>
        </w:tc>
        <w:tc>
          <w:tcPr>
            <w:tcW w:type="dxa" w:w="1814"/>
          </w:tcPr>
          <w:p>
            <w:pPr>
              <w:spacing w:after="0"/>
            </w:pPr>
            <w:r>
              <w:rPr>
                <w:sz w:val="17"/>
              </w:rPr>
            </w:r>
            <w:r>
              <w:rPr>
                <w:sz w:val="17"/>
              </w:rPr>
              <w:t>−5.79, −7.95 ✗</w:t>
            </w:r>
          </w:p>
        </w:tc>
        <w:tc>
          <w:tcPr>
            <w:tcW w:type="dxa" w:w="1701"/>
          </w:tcPr>
          <w:p>
            <w:pPr>
              <w:spacing w:after="0"/>
            </w:pPr>
            <w:r>
              <w:rPr>
                <w:sz w:val="17"/>
              </w:rPr>
            </w:r>
            <w:r>
              <w:rPr>
                <w:sz w:val="17"/>
              </w:rPr>
              <w:t>−12.22, −14.06 ✗</w:t>
            </w:r>
          </w:p>
        </w:tc>
        <w:tc>
          <w:tcPr>
            <w:tcW w:type="dxa" w:w="1701"/>
          </w:tcPr>
          <w:p>
            <w:pPr>
              <w:spacing w:after="0"/>
            </w:pPr>
            <w:r>
              <w:rPr>
                <w:sz w:val="17"/>
              </w:rPr>
            </w:r>
            <w:r>
              <w:rPr>
                <w:sz w:val="17"/>
              </w:rPr>
              <w:t>−16.54, −18.13 ✗</w:t>
            </w:r>
          </w:p>
        </w:tc>
        <w:tc>
          <w:tcPr>
            <w:tcW w:type="dxa" w:w="1928"/>
          </w:tcPr>
          <w:p>
            <w:pPr>
              <w:spacing w:after="0"/>
            </w:pPr>
            <w:r>
              <w:rPr>
                <w:sz w:val="17"/>
              </w:rPr>
            </w:r>
            <w:r>
              <w:rPr>
                <w:b/>
                <w:sz w:val="17"/>
              </w:rPr>
              <w:t>1.00× (2.59 M)</w:t>
            </w:r>
          </w:p>
        </w:tc>
      </w:tr>
    </w:tbl>
    <w:p>
      <w:pPr>
        <w:spacing w:after="40"/>
      </w:pPr>
    </w:p>
    <w:p>
      <w:pPr>
        <w:keepNext/>
        <w:jc w:val="center"/>
      </w:pPr>
      <w:r>
        <w:drawing>
          <wp:inline xmlns:a="http://schemas.openxmlformats.org/drawingml/2006/main" xmlns:pic="http://schemas.openxmlformats.org/drawingml/2006/picture">
            <wp:extent cx="5760000" cy="2304000"/>
            <wp:docPr id="1" name="Picture 1"/>
            <wp:cNvGraphicFramePr>
              <a:graphicFrameLocks noChangeAspect="1"/>
            </wp:cNvGraphicFramePr>
            <a:graphic>
              <a:graphicData uri="http://schemas.openxmlformats.org/drawingml/2006/picture">
                <pic:pic>
                  <pic:nvPicPr>
                    <pic:cNvPr id="0" name="fig_pareto.png"/>
                    <pic:cNvPicPr/>
                  </pic:nvPicPr>
                  <pic:blipFill>
                    <a:blip r:embed="rId9"/>
                    <a:stretch>
                      <a:fillRect/>
                    </a:stretch>
                  </pic:blipFill>
                  <pic:spPr>
                    <a:xfrm>
                      <a:off x="0" y="0"/>
                      <a:ext cx="5760000" cy="2304000"/>
                    </a:xfrm>
                    <a:prstGeom prst="rect"/>
                  </pic:spPr>
                </pic:pic>
              </a:graphicData>
            </a:graphic>
          </wp:inline>
        </w:drawing>
      </w:r>
    </w:p>
    <w:p>
      <w:pPr>
        <w:spacing w:after="200"/>
      </w:pPr>
      <w:r>
        <w:rPr>
          <w:b/>
          <w:sz w:val="19"/>
        </w:rPr>
        <w:t>Figure 1.</w:t>
      </w:r>
      <w:r>
        <w:rPr>
          <w:sz w:val="19"/>
        </w:rPr>
        <w:t xml:space="preserve"> Accuracy versus parameters (left) and GFLOPs (right). Circles and solid line: source-independent arm B. Squares and dashed line: source-exposed arm A. Uniform widths are joined; LPWA-50, distilled 0.75× and pretrained 1.00× are single markers. Exposure steepens the apparent cost of compression.</w:t>
      </w:r>
    </w:p>
    <w:p>
      <w:pPr>
        <w:pStyle w:val="Heading2"/>
      </w:pPr>
      <w:r>
        <w:t>4.3 Exposure distorts every intervention</w:t>
      </w:r>
    </w:p>
    <w:p>
      <w:pPr>
        <w:keepNext/>
        <w:spacing w:after="60"/>
      </w:pPr>
      <w:r>
        <w:rPr>
          <w:b/>
          <w:sz w:val="19"/>
        </w:rPr>
        <w:t>Table 6.</w:t>
      </w:r>
      <w:r>
        <w:rPr>
          <w:sz w:val="19"/>
        </w:rPr>
        <w:t xml:space="preserve"> Effect of each intervention on six-class AP under each arm (paired over 5 seeds, 95% CI).</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608"/>
            <w:shd w:val="clear" w:color="auto" w:fill="E7ECF2"/>
          </w:tcPr>
          <w:p>
            <w:pPr>
              <w:spacing w:after="0"/>
            </w:pPr>
            <w:r>
              <w:rPr>
                <w:sz w:val="17"/>
              </w:rPr>
            </w:r>
            <w:r>
              <w:rPr>
                <w:b/>
                <w:sz w:val="17"/>
              </w:rPr>
              <w:t>Intervention</w:t>
            </w:r>
          </w:p>
        </w:tc>
        <w:tc>
          <w:tcPr>
            <w:tcW w:type="dxa" w:w="1928"/>
            <w:shd w:val="clear" w:color="auto" w:fill="E7ECF2"/>
          </w:tcPr>
          <w:p>
            <w:pPr>
              <w:spacing w:after="0"/>
            </w:pPr>
            <w:r>
              <w:rPr>
                <w:sz w:val="17"/>
              </w:rPr>
            </w:r>
            <w:r>
              <w:rPr>
                <w:b/>
                <w:sz w:val="17"/>
              </w:rPr>
              <w:t>Δ independent (B)</w:t>
            </w:r>
          </w:p>
        </w:tc>
        <w:tc>
          <w:tcPr>
            <w:tcW w:type="dxa" w:w="1247"/>
            <w:shd w:val="clear" w:color="auto" w:fill="E7ECF2"/>
          </w:tcPr>
          <w:p>
            <w:pPr>
              <w:spacing w:after="0"/>
            </w:pPr>
            <w:r>
              <w:rPr>
                <w:sz w:val="17"/>
              </w:rPr>
            </w:r>
            <w:r>
              <w:rPr>
                <w:b/>
                <w:sz w:val="17"/>
              </w:rPr>
              <w:t>Δ exposed (A)</w:t>
            </w:r>
          </w:p>
        </w:tc>
        <w:tc>
          <w:tcPr>
            <w:tcW w:type="dxa" w:w="2211"/>
            <w:shd w:val="clear" w:color="auto" w:fill="E7ECF2"/>
          </w:tcPr>
          <w:p>
            <w:pPr>
              <w:spacing w:after="0"/>
            </w:pPr>
            <w:r>
              <w:rPr>
                <w:sz w:val="17"/>
              </w:rPr>
            </w:r>
            <w:r>
              <w:rPr>
                <w:b/>
                <w:sz w:val="17"/>
              </w:rPr>
              <w:t>Distortion D = Δ_A − Δ_B</w:t>
            </w:r>
          </w:p>
        </w:tc>
        <w:tc>
          <w:tcPr>
            <w:tcW w:type="dxa" w:w="1077"/>
            <w:shd w:val="clear" w:color="auto" w:fill="E7ECF2"/>
          </w:tcPr>
          <w:p>
            <w:pPr>
              <w:spacing w:after="0"/>
            </w:pPr>
            <w:r>
              <w:rPr>
                <w:sz w:val="17"/>
              </w:rPr>
            </w:r>
            <w:r>
              <w:rPr>
                <w:b/>
                <w:sz w:val="17"/>
              </w:rPr>
              <w:t>|Δ_A| / |Δ_B|</w:t>
            </w:r>
          </w:p>
        </w:tc>
      </w:tr>
      <w:tr>
        <w:tc>
          <w:tcPr>
            <w:tcW w:type="dxa" w:w="2608"/>
          </w:tcPr>
          <w:p>
            <w:pPr>
              <w:spacing w:after="0"/>
            </w:pPr>
            <w:r>
              <w:rPr>
                <w:sz w:val="17"/>
              </w:rPr>
            </w:r>
            <w:r>
              <w:rPr>
                <w:sz w:val="17"/>
              </w:rPr>
              <w:t>Width 0.75× (vs 1.00×)</w:t>
            </w:r>
          </w:p>
        </w:tc>
        <w:tc>
          <w:tcPr>
            <w:tcW w:type="dxa" w:w="1928"/>
          </w:tcPr>
          <w:p>
            <w:pPr>
              <w:spacing w:after="0"/>
            </w:pPr>
            <w:r>
              <w:rPr>
                <w:sz w:val="17"/>
              </w:rPr>
            </w:r>
            <w:r>
              <w:rPr>
                <w:sz w:val="17"/>
              </w:rPr>
              <w:t>−0.31 [−1.19, 0.57]</w:t>
            </w:r>
          </w:p>
        </w:tc>
        <w:tc>
          <w:tcPr>
            <w:tcW w:type="dxa" w:w="1247"/>
          </w:tcPr>
          <w:p>
            <w:pPr>
              <w:spacing w:after="0"/>
            </w:pPr>
            <w:r>
              <w:rPr>
                <w:sz w:val="17"/>
              </w:rPr>
            </w:r>
            <w:r>
              <w:rPr>
                <w:sz w:val="17"/>
              </w:rPr>
              <w:t>−5.79</w:t>
            </w:r>
          </w:p>
        </w:tc>
        <w:tc>
          <w:tcPr>
            <w:tcW w:type="dxa" w:w="2211"/>
          </w:tcPr>
          <w:p>
            <w:pPr>
              <w:spacing w:after="0"/>
            </w:pPr>
            <w:r>
              <w:rPr>
                <w:sz w:val="17"/>
              </w:rPr>
            </w:r>
            <w:r>
              <w:rPr>
                <w:sz w:val="17"/>
              </w:rPr>
              <w:t>−5.48 [−6.58, −4.39]</w:t>
            </w:r>
          </w:p>
        </w:tc>
        <w:tc>
          <w:tcPr>
            <w:tcW w:type="dxa" w:w="1077"/>
          </w:tcPr>
          <w:p>
            <w:pPr>
              <w:spacing w:after="0"/>
            </w:pPr>
            <w:r>
              <w:rPr>
                <w:sz w:val="17"/>
              </w:rPr>
            </w:r>
            <w:r>
              <w:rPr>
                <w:sz w:val="17"/>
              </w:rPr>
              <w:t>18.9</w:t>
            </w:r>
          </w:p>
        </w:tc>
      </w:tr>
      <w:tr>
        <w:tc>
          <w:tcPr>
            <w:tcW w:type="dxa" w:w="2608"/>
          </w:tcPr>
          <w:p>
            <w:pPr>
              <w:spacing w:after="0"/>
            </w:pPr>
            <w:r>
              <w:rPr>
                <w:sz w:val="17"/>
              </w:rPr>
            </w:r>
            <w:r>
              <w:rPr>
                <w:sz w:val="17"/>
              </w:rPr>
              <w:t>Width 0.50×</w:t>
            </w:r>
          </w:p>
        </w:tc>
        <w:tc>
          <w:tcPr>
            <w:tcW w:type="dxa" w:w="1928"/>
          </w:tcPr>
          <w:p>
            <w:pPr>
              <w:spacing w:after="0"/>
            </w:pPr>
            <w:r>
              <w:rPr>
                <w:sz w:val="17"/>
              </w:rPr>
            </w:r>
            <w:r>
              <w:rPr>
                <w:sz w:val="17"/>
              </w:rPr>
              <w:t>−1.80 [−2.80, −0.80]</w:t>
            </w:r>
          </w:p>
        </w:tc>
        <w:tc>
          <w:tcPr>
            <w:tcW w:type="dxa" w:w="1247"/>
          </w:tcPr>
          <w:p>
            <w:pPr>
              <w:spacing w:after="0"/>
            </w:pPr>
            <w:r>
              <w:rPr>
                <w:sz w:val="17"/>
              </w:rPr>
            </w:r>
            <w:r>
              <w:rPr>
                <w:sz w:val="17"/>
              </w:rPr>
              <w:t>−12.22</w:t>
            </w:r>
          </w:p>
        </w:tc>
        <w:tc>
          <w:tcPr>
            <w:tcW w:type="dxa" w:w="2211"/>
          </w:tcPr>
          <w:p>
            <w:pPr>
              <w:spacing w:after="0"/>
            </w:pPr>
            <w:r>
              <w:rPr>
                <w:sz w:val="17"/>
              </w:rPr>
            </w:r>
            <w:r>
              <w:rPr>
                <w:sz w:val="17"/>
              </w:rPr>
              <w:t>−10.42 [−12.56, −8.27]</w:t>
            </w:r>
          </w:p>
        </w:tc>
        <w:tc>
          <w:tcPr>
            <w:tcW w:type="dxa" w:w="1077"/>
          </w:tcPr>
          <w:p>
            <w:pPr>
              <w:spacing w:after="0"/>
            </w:pPr>
            <w:r>
              <w:rPr>
                <w:sz w:val="17"/>
              </w:rPr>
            </w:r>
            <w:r>
              <w:rPr>
                <w:sz w:val="17"/>
              </w:rPr>
              <w:t>6.8</w:t>
            </w:r>
          </w:p>
        </w:tc>
      </w:tr>
      <w:tr>
        <w:tc>
          <w:tcPr>
            <w:tcW w:type="dxa" w:w="2608"/>
          </w:tcPr>
          <w:p>
            <w:pPr>
              <w:spacing w:after="0"/>
            </w:pPr>
            <w:r>
              <w:rPr>
                <w:sz w:val="17"/>
              </w:rPr>
            </w:r>
            <w:r>
              <w:rPr>
                <w:sz w:val="17"/>
              </w:rPr>
              <w:t>Width 0.35×</w:t>
            </w:r>
          </w:p>
        </w:tc>
        <w:tc>
          <w:tcPr>
            <w:tcW w:type="dxa" w:w="1928"/>
          </w:tcPr>
          <w:p>
            <w:pPr>
              <w:spacing w:after="0"/>
            </w:pPr>
            <w:r>
              <w:rPr>
                <w:sz w:val="17"/>
              </w:rPr>
            </w:r>
            <w:r>
              <w:rPr>
                <w:sz w:val="17"/>
              </w:rPr>
              <w:t>−3.20 [−4.17, −2.24]</w:t>
            </w:r>
          </w:p>
        </w:tc>
        <w:tc>
          <w:tcPr>
            <w:tcW w:type="dxa" w:w="1247"/>
          </w:tcPr>
          <w:p>
            <w:pPr>
              <w:spacing w:after="0"/>
            </w:pPr>
            <w:r>
              <w:rPr>
                <w:sz w:val="17"/>
              </w:rPr>
            </w:r>
            <w:r>
              <w:rPr>
                <w:sz w:val="17"/>
              </w:rPr>
              <w:t>−16.54</w:t>
            </w:r>
          </w:p>
        </w:tc>
        <w:tc>
          <w:tcPr>
            <w:tcW w:type="dxa" w:w="2211"/>
          </w:tcPr>
          <w:p>
            <w:pPr>
              <w:spacing w:after="0"/>
            </w:pPr>
            <w:r>
              <w:rPr>
                <w:sz w:val="17"/>
              </w:rPr>
            </w:r>
            <w:r>
              <w:rPr>
                <w:sz w:val="17"/>
              </w:rPr>
              <w:t>−13.34 [−15.03, −11.66]</w:t>
            </w:r>
          </w:p>
        </w:tc>
        <w:tc>
          <w:tcPr>
            <w:tcW w:type="dxa" w:w="1077"/>
          </w:tcPr>
          <w:p>
            <w:pPr>
              <w:spacing w:after="0"/>
            </w:pPr>
            <w:r>
              <w:rPr>
                <w:sz w:val="17"/>
              </w:rPr>
            </w:r>
            <w:r>
              <w:rPr>
                <w:sz w:val="17"/>
              </w:rPr>
              <w:t>5.2</w:t>
            </w:r>
          </w:p>
        </w:tc>
      </w:tr>
      <w:tr>
        <w:tc>
          <w:tcPr>
            <w:tcW w:type="dxa" w:w="2608"/>
          </w:tcPr>
          <w:p>
            <w:pPr>
              <w:spacing w:after="0"/>
            </w:pPr>
            <w:r>
              <w:rPr>
                <w:sz w:val="17"/>
              </w:rPr>
            </w:r>
            <w:r>
              <w:rPr>
                <w:sz w:val="17"/>
              </w:rPr>
              <w:t>LPWA-50 (vs uniform 0.50×)</w:t>
            </w:r>
          </w:p>
        </w:tc>
        <w:tc>
          <w:tcPr>
            <w:tcW w:type="dxa" w:w="1928"/>
          </w:tcPr>
          <w:p>
            <w:pPr>
              <w:spacing w:after="0"/>
            </w:pPr>
            <w:r>
              <w:rPr>
                <w:sz w:val="17"/>
              </w:rPr>
            </w:r>
            <w:r>
              <w:rPr>
                <w:sz w:val="17"/>
              </w:rPr>
              <w:t>+0.26 [−0.51, 1.03]</w:t>
            </w:r>
          </w:p>
        </w:tc>
        <w:tc>
          <w:tcPr>
            <w:tcW w:type="dxa" w:w="1247"/>
          </w:tcPr>
          <w:p>
            <w:pPr>
              <w:spacing w:after="0"/>
            </w:pPr>
            <w:r>
              <w:rPr>
                <w:sz w:val="17"/>
              </w:rPr>
            </w:r>
            <w:r>
              <w:rPr>
                <w:sz w:val="17"/>
              </w:rPr>
              <w:t>+1.58</w:t>
            </w:r>
          </w:p>
        </w:tc>
        <w:tc>
          <w:tcPr>
            <w:tcW w:type="dxa" w:w="2211"/>
          </w:tcPr>
          <w:p>
            <w:pPr>
              <w:spacing w:after="0"/>
            </w:pPr>
            <w:r>
              <w:rPr>
                <w:sz w:val="17"/>
              </w:rPr>
            </w:r>
            <w:r>
              <w:rPr>
                <w:sz w:val="17"/>
              </w:rPr>
              <w:t>+1.32 [−1.08, 3.73]</w:t>
            </w:r>
          </w:p>
        </w:tc>
        <w:tc>
          <w:tcPr>
            <w:tcW w:type="dxa" w:w="1077"/>
          </w:tcPr>
          <w:p>
            <w:pPr>
              <w:spacing w:after="0"/>
            </w:pPr>
            <w:r>
              <w:rPr>
                <w:sz w:val="17"/>
              </w:rPr>
            </w:r>
            <w:r>
              <w:rPr>
                <w:sz w:val="17"/>
              </w:rPr>
              <w:t>(6.2)</w:t>
            </w:r>
          </w:p>
        </w:tc>
      </w:tr>
      <w:tr>
        <w:tc>
          <w:tcPr>
            <w:tcW w:type="dxa" w:w="2608"/>
          </w:tcPr>
          <w:p>
            <w:pPr>
              <w:spacing w:after="0"/>
            </w:pPr>
            <w:r>
              <w:rPr>
                <w:sz w:val="17"/>
              </w:rPr>
            </w:r>
            <w:r>
              <w:rPr>
                <w:sz w:val="17"/>
              </w:rPr>
              <w:t>COCO pretraining (vs scratch 1.00×)</w:t>
            </w:r>
          </w:p>
        </w:tc>
        <w:tc>
          <w:tcPr>
            <w:tcW w:type="dxa" w:w="1928"/>
          </w:tcPr>
          <w:p>
            <w:pPr>
              <w:spacing w:after="0"/>
            </w:pPr>
            <w:r>
              <w:rPr>
                <w:sz w:val="17"/>
              </w:rPr>
            </w:r>
            <w:r>
              <w:rPr>
                <w:sz w:val="17"/>
              </w:rPr>
              <w:t>+3.93 [3.25, 4.61]</w:t>
            </w:r>
          </w:p>
        </w:tc>
        <w:tc>
          <w:tcPr>
            <w:tcW w:type="dxa" w:w="1247"/>
          </w:tcPr>
          <w:p>
            <w:pPr>
              <w:spacing w:after="0"/>
            </w:pPr>
            <w:r>
              <w:rPr>
                <w:sz w:val="17"/>
              </w:rPr>
            </w:r>
            <w:r>
              <w:rPr>
                <w:sz w:val="17"/>
              </w:rPr>
              <w:t>+15.07</w:t>
            </w:r>
          </w:p>
        </w:tc>
        <w:tc>
          <w:tcPr>
            <w:tcW w:type="dxa" w:w="2211"/>
          </w:tcPr>
          <w:p>
            <w:pPr>
              <w:spacing w:after="0"/>
            </w:pPr>
            <w:r>
              <w:rPr>
                <w:sz w:val="17"/>
              </w:rPr>
            </w:r>
            <w:r>
              <w:rPr>
                <w:sz w:val="17"/>
              </w:rPr>
              <w:t>+11.13 [9.60, 12.66]</w:t>
            </w:r>
          </w:p>
        </w:tc>
        <w:tc>
          <w:tcPr>
            <w:tcW w:type="dxa" w:w="1077"/>
          </w:tcPr>
          <w:p>
            <w:pPr>
              <w:spacing w:after="0"/>
            </w:pPr>
            <w:r>
              <w:rPr>
                <w:sz w:val="17"/>
              </w:rPr>
            </w:r>
            <w:r>
              <w:rPr>
                <w:sz w:val="17"/>
              </w:rPr>
              <w:t>3.8</w:t>
            </w:r>
          </w:p>
        </w:tc>
      </w:tr>
      <w:tr>
        <w:tc>
          <w:tcPr>
            <w:tcW w:type="dxa" w:w="2608"/>
          </w:tcPr>
          <w:p>
            <w:pPr>
              <w:spacing w:after="0"/>
            </w:pPr>
            <w:r>
              <w:rPr>
                <w:sz w:val="17"/>
              </w:rPr>
            </w:r>
            <w:r>
              <w:rPr>
                <w:sz w:val="17"/>
              </w:rPr>
              <w:t>Distillation (vs ordinary 0.75×)</w:t>
            </w:r>
          </w:p>
        </w:tc>
        <w:tc>
          <w:tcPr>
            <w:tcW w:type="dxa" w:w="1928"/>
          </w:tcPr>
          <w:p>
            <w:pPr>
              <w:spacing w:after="0"/>
            </w:pPr>
            <w:r>
              <w:rPr>
                <w:sz w:val="17"/>
              </w:rPr>
            </w:r>
            <w:r>
              <w:rPr>
                <w:sz w:val="17"/>
              </w:rPr>
              <w:t>+0.95 [0.21, 1.69]</w:t>
            </w:r>
          </w:p>
        </w:tc>
        <w:tc>
          <w:tcPr>
            <w:tcW w:type="dxa" w:w="1247"/>
          </w:tcPr>
          <w:p>
            <w:pPr>
              <w:spacing w:after="0"/>
            </w:pPr>
            <w:r>
              <w:rPr>
                <w:sz w:val="17"/>
              </w:rPr>
            </w:r>
            <w:r>
              <w:rPr>
                <w:sz w:val="17"/>
              </w:rPr>
              <w:t>+2.81</w:t>
            </w:r>
          </w:p>
        </w:tc>
        <w:tc>
          <w:tcPr>
            <w:tcW w:type="dxa" w:w="2211"/>
          </w:tcPr>
          <w:p>
            <w:pPr>
              <w:spacing w:after="0"/>
            </w:pPr>
            <w:r>
              <w:rPr>
                <w:sz w:val="17"/>
              </w:rPr>
            </w:r>
            <w:r>
              <w:rPr>
                <w:sz w:val="17"/>
              </w:rPr>
              <w:t>+1.86 [−0.60, 4.32]</w:t>
            </w:r>
          </w:p>
        </w:tc>
        <w:tc>
          <w:tcPr>
            <w:tcW w:type="dxa" w:w="1077"/>
          </w:tcPr>
          <w:p>
            <w:pPr>
              <w:spacing w:after="0"/>
            </w:pPr>
            <w:r>
              <w:rPr>
                <w:sz w:val="17"/>
              </w:rPr>
            </w:r>
            <w:r>
              <w:rPr>
                <w:sz w:val="17"/>
              </w:rPr>
              <w:t>3.0</w:t>
            </w:r>
          </w:p>
        </w:tc>
      </w:tr>
    </w:tbl>
    <w:p>
      <w:pPr>
        <w:spacing w:after="160"/>
      </w:pPr>
      <w:r>
        <w:rPr>
          <w:sz w:val="17"/>
        </w:rPr>
        <w:t>Ratios are descriptive; the LPWA ratio is unstable because Δ_B is near zero.</w:t>
      </w:r>
    </w:p>
    <w:p>
      <w:pPr>
        <w:jc w:val="both"/>
      </w:pPr>
      <w:r>
        <w:t>Source exposure consistently magnified apparent intervention effects (Table 6, Figure 2). The largest absolute distortions occurred for aggressive width reduction (−10.4 and −13.3 AP) and pretraining (+11.1 AP), where the confidence intervals exclude zero. For LPWA-50 and distillation, the direction was the same but the distortion intervals include zero. The pretraining contrast is exploratory: its analysis plan was written before scoring, but it was not part of a pre-registered phase.</w:t>
      </w:r>
    </w:p>
    <w:p>
      <w:pPr>
        <w:keepNext/>
        <w:jc w:val="center"/>
      </w:pPr>
      <w:r>
        <w:drawing>
          <wp:inline xmlns:a="http://schemas.openxmlformats.org/drawingml/2006/main" xmlns:pic="http://schemas.openxmlformats.org/drawingml/2006/picture">
            <wp:extent cx="5220000" cy="2610000"/>
            <wp:docPr id="2" name="Picture 2"/>
            <wp:cNvGraphicFramePr>
              <a:graphicFrameLocks noChangeAspect="1"/>
            </wp:cNvGraphicFramePr>
            <a:graphic>
              <a:graphicData uri="http://schemas.openxmlformats.org/drawingml/2006/picture">
                <pic:pic>
                  <pic:nvPicPr>
                    <pic:cNvPr id="0" name="fig_distortion.png"/>
                    <pic:cNvPicPr/>
                  </pic:nvPicPr>
                  <pic:blipFill>
                    <a:blip r:embed="rId10"/>
                    <a:stretch>
                      <a:fillRect/>
                    </a:stretch>
                  </pic:blipFill>
                  <pic:spPr>
                    <a:xfrm>
                      <a:off x="0" y="0"/>
                      <a:ext cx="5220000" cy="2610000"/>
                    </a:xfrm>
                    <a:prstGeom prst="rect"/>
                  </pic:spPr>
                </pic:pic>
              </a:graphicData>
            </a:graphic>
          </wp:inline>
        </w:drawing>
      </w:r>
    </w:p>
    <w:p>
      <w:pPr>
        <w:spacing w:after="200"/>
      </w:pPr>
      <w:r>
        <w:rPr>
          <w:b/>
          <w:sz w:val="19"/>
        </w:rPr>
        <w:t>Figure 2.</w:t>
      </w:r>
      <w:r>
        <w:rPr>
          <w:sz w:val="19"/>
        </w:rPr>
        <w:t xml:space="preserve"> The same intervention measured under the source-exposed (red) and source-independent (blue) protocol. Effects are paired seed means of six-class AP.</w:t>
      </w:r>
    </w:p>
    <w:p>
      <w:pPr>
        <w:pStyle w:val="Heading2"/>
      </w:pPr>
      <w:r>
        <w:t>4.4 A localization-motivated reallocation does not pass its gate</w:t>
      </w:r>
    </w:p>
    <w:p>
      <w:pPr>
        <w:jc w:val="both"/>
      </w:pPr>
      <w:r>
        <w:t>LPWA-50 failed its pre-registered AP gate. Against uniform 0.50× it gave ΔAP_B = +0.26 [−0.51, +1.03], below the required +0.75. It did raise localization recall at IoU 0.50 by +1.31 [+0.33, +2.28], positive in all five seeds. Its gain under exposure was six times larger (+1.58), so a source-exposed study would have reported it as an architectural improvement. Architecture work stopped here under the frozen rule.</w:t>
      </w:r>
    </w:p>
    <w:p>
      <w:pPr>
        <w:pStyle w:val="Heading2"/>
      </w:pPr>
      <w:r>
        <w:t>4.5 Localization-focused distillation</w:t>
      </w:r>
    </w:p>
    <w:p>
      <w:pPr>
        <w:keepNext/>
        <w:spacing w:after="60"/>
      </w:pPr>
      <w:r>
        <w:rPr>
          <w:b/>
          <w:sz w:val="19"/>
        </w:rPr>
        <w:t>Table 7.</w:t>
      </w:r>
      <w:r>
        <w:rPr>
          <w:sz w:val="19"/>
        </w:rPr>
        <w:t xml:space="preserve"> Distillation into the 0.75× model (arm B, 24,570 updates).</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721"/>
            <w:shd w:val="clear" w:color="auto" w:fill="E7ECF2"/>
          </w:tcPr>
          <w:p>
            <w:pPr>
              <w:spacing w:after="0"/>
            </w:pPr>
            <w:r>
              <w:rPr>
                <w:sz w:val="17"/>
              </w:rPr>
            </w:r>
            <w:r>
              <w:rPr>
                <w:b/>
                <w:sz w:val="17"/>
              </w:rPr>
              <w:t>Model</w:t>
            </w:r>
          </w:p>
        </w:tc>
        <w:tc>
          <w:tcPr>
            <w:tcW w:type="dxa" w:w="1020"/>
            <w:shd w:val="clear" w:color="auto" w:fill="E7ECF2"/>
          </w:tcPr>
          <w:p>
            <w:pPr>
              <w:spacing w:after="0"/>
            </w:pPr>
            <w:r>
              <w:rPr>
                <w:sz w:val="17"/>
              </w:rPr>
            </w:r>
            <w:r>
              <w:rPr>
                <w:b/>
                <w:sz w:val="17"/>
              </w:rPr>
              <w:t>Params</w:t>
            </w:r>
          </w:p>
        </w:tc>
        <w:tc>
          <w:tcPr>
            <w:tcW w:type="dxa" w:w="1474"/>
            <w:shd w:val="clear" w:color="auto" w:fill="E7ECF2"/>
          </w:tcPr>
          <w:p>
            <w:pPr>
              <w:spacing w:after="0"/>
            </w:pPr>
            <w:r>
              <w:rPr>
                <w:sz w:val="17"/>
              </w:rPr>
            </w:r>
            <w:r>
              <w:rPr>
                <w:b/>
                <w:sz w:val="17"/>
              </w:rPr>
              <w:t>AP arm B</w:t>
            </w:r>
          </w:p>
        </w:tc>
        <w:tc>
          <w:tcPr>
            <w:tcW w:type="dxa" w:w="1134"/>
            <w:shd w:val="clear" w:color="auto" w:fill="E7ECF2"/>
          </w:tcPr>
          <w:p>
            <w:pPr>
              <w:spacing w:after="0"/>
            </w:pPr>
            <w:r>
              <w:rPr>
                <w:sz w:val="17"/>
              </w:rPr>
            </w:r>
            <w:r>
              <w:rPr>
                <w:b/>
                <w:sz w:val="17"/>
              </w:rPr>
              <w:t>AP arm A</w:t>
            </w:r>
          </w:p>
        </w:tc>
        <w:tc>
          <w:tcPr>
            <w:tcW w:type="dxa" w:w="1474"/>
            <w:shd w:val="clear" w:color="auto" w:fill="E7ECF2"/>
          </w:tcPr>
          <w:p>
            <w:pPr>
              <w:spacing w:after="0"/>
            </w:pPr>
            <w:r>
              <w:rPr>
                <w:sz w:val="17"/>
              </w:rPr>
            </w:r>
            <w:r>
              <w:rPr>
                <w:b/>
                <w:sz w:val="17"/>
              </w:rPr>
              <w:t>Loc. recall @0.50</w:t>
            </w:r>
          </w:p>
        </w:tc>
        <w:tc>
          <w:tcPr>
            <w:tcW w:type="dxa" w:w="1020"/>
            <w:shd w:val="clear" w:color="auto" w:fill="E7ECF2"/>
          </w:tcPr>
          <w:p>
            <w:pPr>
              <w:spacing w:after="0"/>
            </w:pPr>
            <w:r>
              <w:rPr>
                <w:sz w:val="17"/>
              </w:rPr>
            </w:r>
            <w:r>
              <w:rPr>
                <w:b/>
                <w:sz w:val="17"/>
              </w:rPr>
              <w:t>AP75</w:t>
            </w:r>
          </w:p>
        </w:tc>
      </w:tr>
      <w:tr>
        <w:tc>
          <w:tcPr>
            <w:tcW w:type="dxa" w:w="2721"/>
          </w:tcPr>
          <w:p>
            <w:pPr>
              <w:spacing w:after="0"/>
            </w:pPr>
            <w:r>
              <w:rPr>
                <w:sz w:val="17"/>
              </w:rPr>
            </w:r>
            <w:r>
              <w:rPr>
                <w:sz w:val="17"/>
              </w:rPr>
              <w:t>Pretrained 1.00× (teacher family)</w:t>
            </w:r>
          </w:p>
        </w:tc>
        <w:tc>
          <w:tcPr>
            <w:tcW w:type="dxa" w:w="1020"/>
          </w:tcPr>
          <w:p>
            <w:pPr>
              <w:spacing w:after="0"/>
            </w:pPr>
            <w:r>
              <w:rPr>
                <w:sz w:val="17"/>
              </w:rPr>
            </w:r>
            <w:r>
              <w:rPr>
                <w:sz w:val="17"/>
              </w:rPr>
              <w:t>2.59 M</w:t>
            </w:r>
          </w:p>
        </w:tc>
        <w:tc>
          <w:tcPr>
            <w:tcW w:type="dxa" w:w="1474"/>
          </w:tcPr>
          <w:p>
            <w:pPr>
              <w:spacing w:after="0"/>
            </w:pPr>
            <w:r>
              <w:rPr>
                <w:sz w:val="17"/>
              </w:rPr>
            </w:r>
            <w:r>
              <w:rPr>
                <w:sz w:val="17"/>
              </w:rPr>
              <w:t>17.59</w:t>
            </w:r>
          </w:p>
        </w:tc>
        <w:tc>
          <w:tcPr>
            <w:tcW w:type="dxa" w:w="1134"/>
          </w:tcPr>
          <w:p>
            <w:pPr>
              <w:spacing w:after="0"/>
            </w:pPr>
            <w:r>
              <w:rPr>
                <w:sz w:val="17"/>
              </w:rPr>
            </w:r>
            <w:r>
              <w:rPr>
                <w:sz w:val="17"/>
              </w:rPr>
              <w:t>44.82</w:t>
            </w:r>
          </w:p>
        </w:tc>
        <w:tc>
          <w:tcPr>
            <w:tcW w:type="dxa" w:w="1474"/>
          </w:tcPr>
          <w:p>
            <w:pPr>
              <w:spacing w:after="0"/>
            </w:pPr>
            <w:r>
              <w:rPr>
                <w:sz w:val="17"/>
              </w:rPr>
            </w:r>
            <w:r>
              <w:rPr>
                <w:sz w:val="17"/>
              </w:rPr>
              <w:t>43.7</w:t>
            </w:r>
          </w:p>
        </w:tc>
        <w:tc>
          <w:tcPr>
            <w:tcW w:type="dxa" w:w="1020"/>
          </w:tcPr>
          <w:p>
            <w:pPr>
              <w:spacing w:after="0"/>
            </w:pPr>
            <w:r>
              <w:rPr>
                <w:sz w:val="17"/>
              </w:rPr>
            </w:r>
            <w:r>
              <w:rPr>
                <w:sz w:val="17"/>
              </w:rPr>
              <w:t>15.22</w:t>
            </w:r>
          </w:p>
        </w:tc>
      </w:tr>
      <w:tr>
        <w:tc>
          <w:tcPr>
            <w:tcW w:type="dxa" w:w="2721"/>
          </w:tcPr>
          <w:p>
            <w:pPr>
              <w:spacing w:after="0"/>
            </w:pPr>
            <w:r>
              <w:rPr>
                <w:sz w:val="17"/>
              </w:rPr>
            </w:r>
            <w:r>
              <w:rPr>
                <w:b/>
                <w:sz w:val="17"/>
              </w:rPr>
              <w:t>Distilled 0.75×</w:t>
            </w:r>
          </w:p>
        </w:tc>
        <w:tc>
          <w:tcPr>
            <w:tcW w:type="dxa" w:w="1020"/>
          </w:tcPr>
          <w:p>
            <w:pPr>
              <w:spacing w:after="0"/>
            </w:pPr>
            <w:r>
              <w:rPr>
                <w:sz w:val="17"/>
              </w:rPr>
            </w:r>
            <w:r>
              <w:rPr>
                <w:sz w:val="17"/>
              </w:rPr>
              <w:t>1.57 M</w:t>
            </w:r>
          </w:p>
        </w:tc>
        <w:tc>
          <w:tcPr>
            <w:tcW w:type="dxa" w:w="1474"/>
          </w:tcPr>
          <w:p>
            <w:pPr>
              <w:spacing w:after="0"/>
            </w:pPr>
            <w:r>
              <w:rPr>
                <w:sz w:val="17"/>
              </w:rPr>
            </w:r>
            <w:r>
              <w:rPr>
                <w:b/>
                <w:sz w:val="17"/>
              </w:rPr>
              <w:t>14.30 ± 0.59</w:t>
            </w:r>
          </w:p>
        </w:tc>
        <w:tc>
          <w:tcPr>
            <w:tcW w:type="dxa" w:w="1134"/>
          </w:tcPr>
          <w:p>
            <w:pPr>
              <w:spacing w:after="0"/>
            </w:pPr>
            <w:r>
              <w:rPr>
                <w:sz w:val="17"/>
              </w:rPr>
            </w:r>
            <w:r>
              <w:rPr>
                <w:sz w:val="17"/>
              </w:rPr>
              <w:t>26.78</w:t>
            </w:r>
          </w:p>
        </w:tc>
        <w:tc>
          <w:tcPr>
            <w:tcW w:type="dxa" w:w="1474"/>
          </w:tcPr>
          <w:p>
            <w:pPr>
              <w:spacing w:after="0"/>
            </w:pPr>
            <w:r>
              <w:rPr>
                <w:sz w:val="17"/>
              </w:rPr>
            </w:r>
            <w:r>
              <w:rPr>
                <w:sz w:val="17"/>
              </w:rPr>
              <w:t>36.3</w:t>
            </w:r>
          </w:p>
        </w:tc>
        <w:tc>
          <w:tcPr>
            <w:tcW w:type="dxa" w:w="1020"/>
          </w:tcPr>
          <w:p>
            <w:pPr>
              <w:spacing w:after="0"/>
            </w:pPr>
            <w:r>
              <w:rPr>
                <w:sz w:val="17"/>
              </w:rPr>
            </w:r>
            <w:r>
              <w:rPr>
                <w:sz w:val="17"/>
              </w:rPr>
              <w:t>11.88</w:t>
            </w:r>
          </w:p>
        </w:tc>
      </w:tr>
      <w:tr>
        <w:tc>
          <w:tcPr>
            <w:tcW w:type="dxa" w:w="2721"/>
          </w:tcPr>
          <w:p>
            <w:pPr>
              <w:spacing w:after="0"/>
            </w:pPr>
            <w:r>
              <w:rPr>
                <w:sz w:val="17"/>
              </w:rPr>
            </w:r>
            <w:r>
              <w:rPr>
                <w:sz w:val="17"/>
              </w:rPr>
              <w:t>From-scratch 1.00×</w:t>
            </w:r>
          </w:p>
        </w:tc>
        <w:tc>
          <w:tcPr>
            <w:tcW w:type="dxa" w:w="1020"/>
          </w:tcPr>
          <w:p>
            <w:pPr>
              <w:spacing w:after="0"/>
            </w:pPr>
            <w:r>
              <w:rPr>
                <w:sz w:val="17"/>
              </w:rPr>
            </w:r>
            <w:r>
              <w:rPr>
                <w:sz w:val="17"/>
              </w:rPr>
              <w:t>2.59 M</w:t>
            </w:r>
          </w:p>
        </w:tc>
        <w:tc>
          <w:tcPr>
            <w:tcW w:type="dxa" w:w="1474"/>
          </w:tcPr>
          <w:p>
            <w:pPr>
              <w:spacing w:after="0"/>
            </w:pPr>
            <w:r>
              <w:rPr>
                <w:sz w:val="17"/>
              </w:rPr>
            </w:r>
            <w:r>
              <w:rPr>
                <w:sz w:val="17"/>
              </w:rPr>
              <w:t>13.65 ± 0.39</w:t>
            </w:r>
          </w:p>
        </w:tc>
        <w:tc>
          <w:tcPr>
            <w:tcW w:type="dxa" w:w="1134"/>
          </w:tcPr>
          <w:p>
            <w:pPr>
              <w:spacing w:after="0"/>
            </w:pPr>
            <w:r>
              <w:rPr>
                <w:sz w:val="17"/>
              </w:rPr>
            </w:r>
            <w:r>
              <w:rPr>
                <w:sz w:val="17"/>
              </w:rPr>
              <w:t>29.76</w:t>
            </w:r>
          </w:p>
        </w:tc>
        <w:tc>
          <w:tcPr>
            <w:tcW w:type="dxa" w:w="1474"/>
          </w:tcPr>
          <w:p>
            <w:pPr>
              <w:spacing w:after="0"/>
            </w:pPr>
            <w:r>
              <w:rPr>
                <w:sz w:val="17"/>
              </w:rPr>
            </w:r>
            <w:r>
              <w:rPr>
                <w:sz w:val="17"/>
              </w:rPr>
              <w:t>36.9</w:t>
            </w:r>
          </w:p>
        </w:tc>
        <w:tc>
          <w:tcPr>
            <w:tcW w:type="dxa" w:w="1020"/>
          </w:tcPr>
          <w:p>
            <w:pPr>
              <w:spacing w:after="0"/>
            </w:pPr>
            <w:r>
              <w:rPr>
                <w:sz w:val="17"/>
              </w:rPr>
            </w:r>
            <w:r>
              <w:rPr>
                <w:sz w:val="17"/>
              </w:rPr>
              <w:t>10.41</w:t>
            </w:r>
          </w:p>
        </w:tc>
      </w:tr>
      <w:tr>
        <w:tc>
          <w:tcPr>
            <w:tcW w:type="dxa" w:w="2721"/>
          </w:tcPr>
          <w:p>
            <w:pPr>
              <w:spacing w:after="0"/>
            </w:pPr>
            <w:r>
              <w:rPr>
                <w:sz w:val="17"/>
              </w:rPr>
            </w:r>
            <w:r>
              <w:rPr>
                <w:sz w:val="17"/>
              </w:rPr>
              <w:t>Ordinary 0.75×</w:t>
            </w:r>
          </w:p>
        </w:tc>
        <w:tc>
          <w:tcPr>
            <w:tcW w:type="dxa" w:w="1020"/>
          </w:tcPr>
          <w:p>
            <w:pPr>
              <w:spacing w:after="0"/>
            </w:pPr>
            <w:r>
              <w:rPr>
                <w:sz w:val="17"/>
              </w:rPr>
            </w:r>
            <w:r>
              <w:rPr>
                <w:sz w:val="17"/>
              </w:rPr>
              <w:t>1.57 M</w:t>
            </w:r>
          </w:p>
        </w:tc>
        <w:tc>
          <w:tcPr>
            <w:tcW w:type="dxa" w:w="1474"/>
          </w:tcPr>
          <w:p>
            <w:pPr>
              <w:spacing w:after="0"/>
            </w:pPr>
            <w:r>
              <w:rPr>
                <w:sz w:val="17"/>
              </w:rPr>
            </w:r>
            <w:r>
              <w:rPr>
                <w:sz w:val="17"/>
              </w:rPr>
              <w:t>13.34 ± 0.54</w:t>
            </w:r>
          </w:p>
        </w:tc>
        <w:tc>
          <w:tcPr>
            <w:tcW w:type="dxa" w:w="1134"/>
          </w:tcPr>
          <w:p>
            <w:pPr>
              <w:spacing w:after="0"/>
            </w:pPr>
            <w:r>
              <w:rPr>
                <w:sz w:val="17"/>
              </w:rPr>
            </w:r>
            <w:r>
              <w:rPr>
                <w:sz w:val="17"/>
              </w:rPr>
              <w:t>23.96</w:t>
            </w:r>
          </w:p>
        </w:tc>
        <w:tc>
          <w:tcPr>
            <w:tcW w:type="dxa" w:w="1474"/>
          </w:tcPr>
          <w:p>
            <w:pPr>
              <w:spacing w:after="0"/>
            </w:pPr>
            <w:r>
              <w:rPr>
                <w:sz w:val="17"/>
              </w:rPr>
            </w:r>
            <w:r>
              <w:rPr>
                <w:sz w:val="17"/>
              </w:rPr>
              <w:t>34.6</w:t>
            </w:r>
          </w:p>
        </w:tc>
        <w:tc>
          <w:tcPr>
            <w:tcW w:type="dxa" w:w="1020"/>
          </w:tcPr>
          <w:p>
            <w:pPr>
              <w:spacing w:after="0"/>
            </w:pPr>
            <w:r>
              <w:rPr>
                <w:sz w:val="17"/>
              </w:rPr>
            </w:r>
            <w:r>
              <w:rPr>
                <w:sz w:val="17"/>
              </w:rPr>
              <w:t>10.17</w:t>
            </w:r>
          </w:p>
        </w:tc>
      </w:tr>
    </w:tbl>
    <w:p>
      <w:pPr>
        <w:spacing w:after="40"/>
      </w:pPr>
    </w:p>
    <w:p>
      <w:pPr>
        <w:spacing w:after="40"/>
      </w:pPr>
      <w:r>
        <w:t>Distillation passed its gate (Table 7):</w:t>
      </w:r>
    </w:p>
    <w:p>
      <w:pPr>
        <w:pStyle w:val="ListBullet"/>
        <w:spacing w:after="40"/>
      </w:pPr>
      <w:r>
        <w:rPr>
          <w:b/>
        </w:rPr>
        <w:t>AP:</w:t>
      </w:r>
      <w:r>
        <w:t xml:space="preserve"> ΔAP_B = +0.95 [+0.21, +1.69], positive in all five seeds (+0.96, +0.62, +0.47, +1.97, +0.74; Figure 3).</w:t>
      </w:r>
    </w:p>
    <w:p>
      <w:pPr>
        <w:pStyle w:val="ListBullet"/>
        <w:spacing w:after="40"/>
      </w:pPr>
      <w:r>
        <w:rPr>
          <w:b/>
        </w:rPr>
        <w:t>Localization:</w:t>
      </w:r>
      <w:r>
        <w:t xml:space="preserve"> recall at IoU 0.50 rose by +1.75 [+0.79, +2.72], and AP75 by +1.70 [+0.44, +2.97].</w:t>
      </w:r>
    </w:p>
    <w:p>
      <w:pPr>
        <w:pStyle w:val="ListBullet"/>
        <w:spacing w:after="40"/>
      </w:pPr>
      <w:r>
        <w:rPr>
          <w:b/>
        </w:rPr>
        <w:t>Classification:</w:t>
      </w:r>
      <w:r>
        <w:t xml:space="preserve"> conditional class correctness was unchanged (+0.05).</w:t>
      </w:r>
    </w:p>
    <w:p>
      <w:pPr>
        <w:pStyle w:val="ListBullet"/>
        <w:spacing w:after="40"/>
      </w:pPr>
      <w:r>
        <w:rPr>
          <w:b/>
        </w:rPr>
        <w:t>Model:</w:t>
      </w:r>
      <w:r>
        <w:t xml:space="preserve"> parameters, GFLOPs, state-dict layout and file size are identical to the ordinary 0.75×, and so is latency.</w:t>
      </w:r>
    </w:p>
    <w:p>
      <w:pPr>
        <w:pStyle w:val="ListBullet"/>
        <w:spacing w:after="40"/>
      </w:pPr>
      <w:r>
        <w:rPr>
          <w:b/>
        </w:rPr>
        <w:t>Caveats:</w:t>
      </w:r>
      <w:r>
        <w:t xml:space="preserve"> the family-bootstrap interval for ΔAP_B is wider (−0.09 to +1.72); the student recovers only 22% of the gap to the pretrained teacher family; and the effect is again larger under exposure (+2.81).</w:t>
      </w:r>
    </w:p>
    <w:p>
      <w:pPr>
        <w:keepNext/>
        <w:jc w:val="center"/>
      </w:pPr>
      <w:r>
        <w:drawing>
          <wp:inline xmlns:a="http://schemas.openxmlformats.org/drawingml/2006/main" xmlns:pic="http://schemas.openxmlformats.org/drawingml/2006/picture">
            <wp:extent cx="5760000" cy="1885091"/>
            <wp:docPr id="3" name="Picture 3"/>
            <wp:cNvGraphicFramePr>
              <a:graphicFrameLocks noChangeAspect="1"/>
            </wp:cNvGraphicFramePr>
            <a:graphic>
              <a:graphicData uri="http://schemas.openxmlformats.org/drawingml/2006/picture">
                <pic:pic>
                  <pic:nvPicPr>
                    <pic:cNvPr id="0" name="fig_seeds.png"/>
                    <pic:cNvPicPr/>
                  </pic:nvPicPr>
                  <pic:blipFill>
                    <a:blip r:embed="rId11"/>
                    <a:stretch>
                      <a:fillRect/>
                    </a:stretch>
                  </pic:blipFill>
                  <pic:spPr>
                    <a:xfrm>
                      <a:off x="0" y="0"/>
                      <a:ext cx="5760000" cy="1885091"/>
                    </a:xfrm>
                    <a:prstGeom prst="rect"/>
                  </pic:spPr>
                </pic:pic>
              </a:graphicData>
            </a:graphic>
          </wp:inline>
        </w:drawing>
      </w:r>
    </w:p>
    <w:p>
      <w:pPr>
        <w:spacing w:after="200"/>
      </w:pPr>
      <w:r>
        <w:rPr>
          <w:b/>
          <w:sz w:val="19"/>
        </w:rPr>
        <w:t>Figure 3.</w:t>
      </w:r>
      <w:r>
        <w:rPr>
          <w:sz w:val="19"/>
        </w:rPr>
        <w:t xml:space="preserve"> Seed-level paired effects on arm B. Green: ordinary 0.75× → distilled 0.75×. Orange: uniform 0.50× → LPWA-50. Left to right: AP50-95, localization recall at IoU 0.50, AP75.</w:t>
      </w:r>
    </w:p>
    <w:p>
      <w:pPr>
        <w:pStyle w:val="Heading2"/>
      </w:pPr>
      <w:r>
        <w:t>4.6 Mechanism: missed lesions dominate, and small lesions are most fragile</w:t>
      </w:r>
    </w:p>
    <w:p>
      <w:pPr>
        <w:jc w:val="both"/>
      </w:pPr>
      <w:r>
        <w:rPr>
          <w:b/>
        </w:rPr>
        <w:t>Error decomposition (post-hoc, plan hashed).</w:t>
      </w:r>
      <w:r>
        <w:t xml:space="preserve"> At the operating point, about half of ground-truth lesions receive no detection overlapping them at IoU ≥ 0.1 (Table 8). Classification errors are rare in every model.</w:t>
      </w:r>
    </w:p>
    <w:p>
      <w:pPr>
        <w:pStyle w:val="ListBullet"/>
        <w:spacing w:after="40"/>
      </w:pPr>
      <w:r>
        <w:rPr>
          <w:b/>
        </w:rPr>
        <w:t>Compression</w:t>
      </w:r>
      <w:r>
        <w:t xml:space="preserve"> raised the fully missed share by +3.2, +9.2 and +12.7 points for 0.75×, 0.50× and 0.35×.</w:t>
      </w:r>
    </w:p>
    <w:p>
      <w:pPr>
        <w:pStyle w:val="ListBullet"/>
        <w:spacing w:after="40"/>
      </w:pPr>
      <w:r>
        <w:rPr>
          <w:b/>
        </w:rPr>
        <w:t>Distillation</w:t>
      </w:r>
      <w:r>
        <w:t xml:space="preserve"> lowered it by −2.7 points, recovering 84% of the 0.75× increase, with no change in classification errors.</w:t>
      </w:r>
    </w:p>
    <w:p>
      <w:pPr>
        <w:pStyle w:val="ListBullet"/>
        <w:spacing w:after="40"/>
      </w:pPr>
      <w:r>
        <w:rPr>
          <w:b/>
        </w:rPr>
        <w:t>Pretraining</w:t>
      </w:r>
      <w:r>
        <w:t xml:space="preserve"> lowered it by −9.8 points.</w:t>
      </w:r>
    </w:p>
    <w:p>
      <w:pPr>
        <w:keepNext/>
        <w:spacing w:after="60"/>
      </w:pPr>
      <w:r>
        <w:rPr>
          <w:b/>
          <w:sz w:val="19"/>
        </w:rPr>
        <w:t>Table 8.</w:t>
      </w:r>
      <w:r>
        <w:rPr>
          <w:sz w:val="19"/>
        </w:rPr>
        <w:t xml:space="preserve"> TIDE-style error counts on arm B at conf ≥ 0.25 (events per 100 ground-truth boxes; missed types as % of GT).</w:t>
      </w:r>
    </w:p>
    <w:tbl>
      <w:tblPr>
        <w:tblStyle w:val="TableGrid"/>
        <w:tblW w:type="auto" w:w="0"/>
        <w:jc w:val="center"/>
        <w:tblLook w:firstColumn="1" w:firstRow="1" w:lastColumn="0" w:lastRow="0" w:noHBand="0" w:noVBand="1" w:val="04A0"/>
      </w:tblPr>
      <w:tblGrid>
        <w:gridCol w:w="1033"/>
        <w:gridCol w:w="1033"/>
        <w:gridCol w:w="1033"/>
        <w:gridCol w:w="1033"/>
        <w:gridCol w:w="1033"/>
        <w:gridCol w:w="1033"/>
        <w:gridCol w:w="1033"/>
        <w:gridCol w:w="1033"/>
        <w:gridCol w:w="1033"/>
      </w:tblGrid>
      <w:tr>
        <w:tc>
          <w:tcPr>
            <w:tcW w:type="dxa" w:w="1644"/>
            <w:shd w:val="clear" w:color="auto" w:fill="E7ECF2"/>
          </w:tcPr>
          <w:p>
            <w:pPr>
              <w:spacing w:after="0"/>
            </w:pPr>
            <w:r>
              <w:rPr>
                <w:sz w:val="17"/>
              </w:rPr>
            </w:r>
            <w:r>
              <w:rPr>
                <w:b/>
                <w:sz w:val="17"/>
              </w:rPr>
              <w:t>Model</w:t>
            </w:r>
          </w:p>
        </w:tc>
        <w:tc>
          <w:tcPr>
            <w:tcW w:type="dxa" w:w="680"/>
            <w:shd w:val="clear" w:color="auto" w:fill="E7ECF2"/>
          </w:tcPr>
          <w:p>
            <w:pPr>
              <w:spacing w:after="0"/>
            </w:pPr>
            <w:r>
              <w:rPr>
                <w:sz w:val="17"/>
              </w:rPr>
            </w:r>
            <w:r>
              <w:rPr>
                <w:b/>
                <w:sz w:val="17"/>
              </w:rPr>
              <w:t>TP</w:t>
            </w:r>
          </w:p>
        </w:tc>
        <w:tc>
          <w:tcPr>
            <w:tcW w:type="dxa" w:w="850"/>
            <w:shd w:val="clear" w:color="auto" w:fill="E7ECF2"/>
          </w:tcPr>
          <w:p>
            <w:pPr>
              <w:spacing w:after="0"/>
            </w:pPr>
            <w:r>
              <w:rPr>
                <w:sz w:val="17"/>
              </w:rPr>
            </w:r>
            <w:r>
              <w:rPr>
                <w:b/>
                <w:sz w:val="17"/>
              </w:rPr>
              <w:t>Loc. err.</w:t>
            </w:r>
          </w:p>
        </w:tc>
        <w:tc>
          <w:tcPr>
            <w:tcW w:type="dxa" w:w="850"/>
            <w:shd w:val="clear" w:color="auto" w:fill="E7ECF2"/>
          </w:tcPr>
          <w:p>
            <w:pPr>
              <w:spacing w:after="0"/>
            </w:pPr>
            <w:r>
              <w:rPr>
                <w:sz w:val="17"/>
              </w:rPr>
            </w:r>
            <w:r>
              <w:rPr>
                <w:b/>
                <w:sz w:val="17"/>
              </w:rPr>
              <w:t>Cls. err.</w:t>
            </w:r>
          </w:p>
        </w:tc>
        <w:tc>
          <w:tcPr>
            <w:tcW w:type="dxa" w:w="794"/>
            <w:shd w:val="clear" w:color="auto" w:fill="E7ECF2"/>
          </w:tcPr>
          <w:p>
            <w:pPr>
              <w:spacing w:after="0"/>
            </w:pPr>
            <w:r>
              <w:rPr>
                <w:sz w:val="17"/>
              </w:rPr>
            </w:r>
            <w:r>
              <w:rPr>
                <w:b/>
                <w:sz w:val="17"/>
              </w:rPr>
              <w:t>Cls+loc</w:t>
            </w:r>
          </w:p>
        </w:tc>
        <w:tc>
          <w:tcPr>
            <w:tcW w:type="dxa" w:w="680"/>
            <w:shd w:val="clear" w:color="auto" w:fill="E7ECF2"/>
          </w:tcPr>
          <w:p>
            <w:pPr>
              <w:spacing w:after="0"/>
            </w:pPr>
            <w:r>
              <w:rPr>
                <w:sz w:val="17"/>
              </w:rPr>
            </w:r>
            <w:r>
              <w:rPr>
                <w:b/>
                <w:sz w:val="17"/>
              </w:rPr>
              <w:t>Dup.</w:t>
            </w:r>
          </w:p>
        </w:tc>
        <w:tc>
          <w:tcPr>
            <w:tcW w:type="dxa" w:w="850"/>
            <w:shd w:val="clear" w:color="auto" w:fill="E7ECF2"/>
          </w:tcPr>
          <w:p>
            <w:pPr>
              <w:spacing w:after="0"/>
            </w:pPr>
            <w:r>
              <w:rPr>
                <w:sz w:val="17"/>
              </w:rPr>
            </w:r>
            <w:r>
              <w:rPr>
                <w:b/>
                <w:sz w:val="17"/>
              </w:rPr>
              <w:t>Backgr.</w:t>
            </w:r>
          </w:p>
        </w:tc>
        <w:tc>
          <w:tcPr>
            <w:tcW w:type="dxa" w:w="1247"/>
            <w:shd w:val="clear" w:color="auto" w:fill="E7ECF2"/>
          </w:tcPr>
          <w:p>
            <w:pPr>
              <w:spacing w:after="0"/>
            </w:pPr>
            <w:r>
              <w:rPr>
                <w:sz w:val="17"/>
              </w:rPr>
            </w:r>
            <w:r>
              <w:rPr>
                <w:b/>
                <w:sz w:val="17"/>
              </w:rPr>
              <w:t>Near-missed %</w:t>
            </w:r>
          </w:p>
        </w:tc>
        <w:tc>
          <w:tcPr>
            <w:tcW w:type="dxa" w:w="1361"/>
            <w:shd w:val="clear" w:color="auto" w:fill="E7ECF2"/>
          </w:tcPr>
          <w:p>
            <w:pPr>
              <w:spacing w:after="0"/>
            </w:pPr>
            <w:r>
              <w:rPr>
                <w:sz w:val="17"/>
              </w:rPr>
            </w:r>
            <w:r>
              <w:rPr>
                <w:b/>
                <w:sz w:val="17"/>
              </w:rPr>
              <w:t>Fully missed %</w:t>
            </w:r>
          </w:p>
        </w:tc>
      </w:tr>
      <w:tr>
        <w:tc>
          <w:tcPr>
            <w:tcW w:type="dxa" w:w="1644"/>
          </w:tcPr>
          <w:p>
            <w:pPr>
              <w:spacing w:after="0"/>
            </w:pPr>
            <w:r>
              <w:rPr>
                <w:sz w:val="17"/>
              </w:rPr>
            </w:r>
            <w:r>
              <w:rPr>
                <w:sz w:val="17"/>
              </w:rPr>
              <w:t>1.00× scratch</w:t>
            </w:r>
          </w:p>
        </w:tc>
        <w:tc>
          <w:tcPr>
            <w:tcW w:type="dxa" w:w="680"/>
          </w:tcPr>
          <w:p>
            <w:pPr>
              <w:spacing w:after="0"/>
            </w:pPr>
            <w:r>
              <w:rPr>
                <w:sz w:val="17"/>
              </w:rPr>
            </w:r>
            <w:r>
              <w:rPr>
                <w:sz w:val="17"/>
              </w:rPr>
              <w:t>35.6</w:t>
            </w:r>
          </w:p>
        </w:tc>
        <w:tc>
          <w:tcPr>
            <w:tcW w:type="dxa" w:w="850"/>
          </w:tcPr>
          <w:p>
            <w:pPr>
              <w:spacing w:after="0"/>
            </w:pPr>
            <w:r>
              <w:rPr>
                <w:sz w:val="17"/>
              </w:rPr>
            </w:r>
            <w:r>
              <w:rPr>
                <w:sz w:val="17"/>
              </w:rPr>
              <w:t>9.7</w:t>
            </w:r>
          </w:p>
        </w:tc>
        <w:tc>
          <w:tcPr>
            <w:tcW w:type="dxa" w:w="850"/>
          </w:tcPr>
          <w:p>
            <w:pPr>
              <w:spacing w:after="0"/>
            </w:pPr>
            <w:r>
              <w:rPr>
                <w:sz w:val="17"/>
              </w:rPr>
            </w:r>
            <w:r>
              <w:rPr>
                <w:sz w:val="17"/>
              </w:rPr>
              <w:t>1.5</w:t>
            </w:r>
          </w:p>
        </w:tc>
        <w:tc>
          <w:tcPr>
            <w:tcW w:type="dxa" w:w="794"/>
          </w:tcPr>
          <w:p>
            <w:pPr>
              <w:spacing w:after="0"/>
            </w:pPr>
            <w:r>
              <w:rPr>
                <w:sz w:val="17"/>
              </w:rPr>
            </w:r>
            <w:r>
              <w:rPr>
                <w:sz w:val="17"/>
              </w:rPr>
              <w:t>0.8</w:t>
            </w:r>
          </w:p>
        </w:tc>
        <w:tc>
          <w:tcPr>
            <w:tcW w:type="dxa" w:w="680"/>
          </w:tcPr>
          <w:p>
            <w:pPr>
              <w:spacing w:after="0"/>
            </w:pPr>
            <w:r>
              <w:rPr>
                <w:sz w:val="17"/>
              </w:rPr>
            </w:r>
            <w:r>
              <w:rPr>
                <w:sz w:val="17"/>
              </w:rPr>
              <w:t>2.2</w:t>
            </w:r>
          </w:p>
        </w:tc>
        <w:tc>
          <w:tcPr>
            <w:tcW w:type="dxa" w:w="850"/>
          </w:tcPr>
          <w:p>
            <w:pPr>
              <w:spacing w:after="0"/>
            </w:pPr>
            <w:r>
              <w:rPr>
                <w:sz w:val="17"/>
              </w:rPr>
            </w:r>
            <w:r>
              <w:rPr>
                <w:sz w:val="17"/>
              </w:rPr>
              <w:t>8.6</w:t>
            </w:r>
          </w:p>
        </w:tc>
        <w:tc>
          <w:tcPr>
            <w:tcW w:type="dxa" w:w="1247"/>
          </w:tcPr>
          <w:p>
            <w:pPr>
              <w:spacing w:after="0"/>
            </w:pPr>
            <w:r>
              <w:rPr>
                <w:sz w:val="17"/>
              </w:rPr>
            </w:r>
            <w:r>
              <w:rPr>
                <w:sz w:val="17"/>
              </w:rPr>
              <w:t>13.1</w:t>
            </w:r>
          </w:p>
        </w:tc>
        <w:tc>
          <w:tcPr>
            <w:tcW w:type="dxa" w:w="1361"/>
          </w:tcPr>
          <w:p>
            <w:pPr>
              <w:spacing w:after="0"/>
            </w:pPr>
            <w:r>
              <w:rPr>
                <w:sz w:val="17"/>
              </w:rPr>
            </w:r>
            <w:r>
              <w:rPr>
                <w:b/>
                <w:sz w:val="17"/>
              </w:rPr>
              <w:t>51.2</w:t>
            </w:r>
          </w:p>
        </w:tc>
      </w:tr>
      <w:tr>
        <w:tc>
          <w:tcPr>
            <w:tcW w:type="dxa" w:w="1644"/>
          </w:tcPr>
          <w:p>
            <w:pPr>
              <w:spacing w:after="0"/>
            </w:pPr>
            <w:r>
              <w:rPr>
                <w:sz w:val="17"/>
              </w:rPr>
            </w:r>
            <w:r>
              <w:rPr>
                <w:sz w:val="17"/>
              </w:rPr>
              <w:t>0.75×</w:t>
            </w:r>
          </w:p>
        </w:tc>
        <w:tc>
          <w:tcPr>
            <w:tcW w:type="dxa" w:w="680"/>
          </w:tcPr>
          <w:p>
            <w:pPr>
              <w:spacing w:after="0"/>
            </w:pPr>
            <w:r>
              <w:rPr>
                <w:sz w:val="17"/>
              </w:rPr>
            </w:r>
            <w:r>
              <w:rPr>
                <w:sz w:val="17"/>
              </w:rPr>
              <w:t>33.5</w:t>
            </w:r>
          </w:p>
        </w:tc>
        <w:tc>
          <w:tcPr>
            <w:tcW w:type="dxa" w:w="850"/>
          </w:tcPr>
          <w:p>
            <w:pPr>
              <w:spacing w:after="0"/>
            </w:pPr>
            <w:r>
              <w:rPr>
                <w:sz w:val="17"/>
              </w:rPr>
            </w:r>
            <w:r>
              <w:rPr>
                <w:sz w:val="17"/>
              </w:rPr>
              <w:t>8.5</w:t>
            </w:r>
          </w:p>
        </w:tc>
        <w:tc>
          <w:tcPr>
            <w:tcW w:type="dxa" w:w="850"/>
          </w:tcPr>
          <w:p>
            <w:pPr>
              <w:spacing w:after="0"/>
            </w:pPr>
            <w:r>
              <w:rPr>
                <w:sz w:val="17"/>
              </w:rPr>
            </w:r>
            <w:r>
              <w:rPr>
                <w:sz w:val="17"/>
              </w:rPr>
              <w:t>1.3</w:t>
            </w:r>
          </w:p>
        </w:tc>
        <w:tc>
          <w:tcPr>
            <w:tcW w:type="dxa" w:w="794"/>
          </w:tcPr>
          <w:p>
            <w:pPr>
              <w:spacing w:after="0"/>
            </w:pPr>
            <w:r>
              <w:rPr>
                <w:sz w:val="17"/>
              </w:rPr>
            </w:r>
            <w:r>
              <w:rPr>
                <w:sz w:val="17"/>
              </w:rPr>
              <w:t>0.8</w:t>
            </w:r>
          </w:p>
        </w:tc>
        <w:tc>
          <w:tcPr>
            <w:tcW w:type="dxa" w:w="680"/>
          </w:tcPr>
          <w:p>
            <w:pPr>
              <w:spacing w:after="0"/>
            </w:pPr>
            <w:r>
              <w:rPr>
                <w:sz w:val="17"/>
              </w:rPr>
            </w:r>
            <w:r>
              <w:rPr>
                <w:sz w:val="17"/>
              </w:rPr>
              <w:t>2.3</w:t>
            </w:r>
          </w:p>
        </w:tc>
        <w:tc>
          <w:tcPr>
            <w:tcW w:type="dxa" w:w="850"/>
          </w:tcPr>
          <w:p>
            <w:pPr>
              <w:spacing w:after="0"/>
            </w:pPr>
            <w:r>
              <w:rPr>
                <w:sz w:val="17"/>
              </w:rPr>
            </w:r>
            <w:r>
              <w:rPr>
                <w:sz w:val="17"/>
              </w:rPr>
              <w:t>7.6</w:t>
            </w:r>
          </w:p>
        </w:tc>
        <w:tc>
          <w:tcPr>
            <w:tcW w:type="dxa" w:w="1247"/>
          </w:tcPr>
          <w:p>
            <w:pPr>
              <w:spacing w:after="0"/>
            </w:pPr>
            <w:r>
              <w:rPr>
                <w:sz w:val="17"/>
              </w:rPr>
            </w:r>
            <w:r>
              <w:rPr>
                <w:sz w:val="17"/>
              </w:rPr>
              <w:t>12.1</w:t>
            </w:r>
          </w:p>
        </w:tc>
        <w:tc>
          <w:tcPr>
            <w:tcW w:type="dxa" w:w="1361"/>
          </w:tcPr>
          <w:p>
            <w:pPr>
              <w:spacing w:after="0"/>
            </w:pPr>
            <w:r>
              <w:rPr>
                <w:sz w:val="17"/>
              </w:rPr>
            </w:r>
            <w:r>
              <w:rPr>
                <w:b/>
                <w:sz w:val="17"/>
              </w:rPr>
              <w:t>54.5</w:t>
            </w:r>
          </w:p>
        </w:tc>
      </w:tr>
      <w:tr>
        <w:tc>
          <w:tcPr>
            <w:tcW w:type="dxa" w:w="1644"/>
          </w:tcPr>
          <w:p>
            <w:pPr>
              <w:spacing w:after="0"/>
            </w:pPr>
            <w:r>
              <w:rPr>
                <w:sz w:val="17"/>
              </w:rPr>
            </w:r>
            <w:r>
              <w:rPr>
                <w:sz w:val="17"/>
              </w:rPr>
              <w:t>0.50×</w:t>
            </w:r>
          </w:p>
        </w:tc>
        <w:tc>
          <w:tcPr>
            <w:tcW w:type="dxa" w:w="680"/>
          </w:tcPr>
          <w:p>
            <w:pPr>
              <w:spacing w:after="0"/>
            </w:pPr>
            <w:r>
              <w:rPr>
                <w:sz w:val="17"/>
              </w:rPr>
            </w:r>
            <w:r>
              <w:rPr>
                <w:sz w:val="17"/>
              </w:rPr>
              <w:t>29.0</w:t>
            </w:r>
          </w:p>
        </w:tc>
        <w:tc>
          <w:tcPr>
            <w:tcW w:type="dxa" w:w="850"/>
          </w:tcPr>
          <w:p>
            <w:pPr>
              <w:spacing w:after="0"/>
            </w:pPr>
            <w:r>
              <w:rPr>
                <w:sz w:val="17"/>
              </w:rPr>
            </w:r>
            <w:r>
              <w:rPr>
                <w:sz w:val="17"/>
              </w:rPr>
              <w:t>7.3</w:t>
            </w:r>
          </w:p>
        </w:tc>
        <w:tc>
          <w:tcPr>
            <w:tcW w:type="dxa" w:w="850"/>
          </w:tcPr>
          <w:p>
            <w:pPr>
              <w:spacing w:after="0"/>
            </w:pPr>
            <w:r>
              <w:rPr>
                <w:sz w:val="17"/>
              </w:rPr>
            </w:r>
            <w:r>
              <w:rPr>
                <w:sz w:val="17"/>
              </w:rPr>
              <w:t>1.0</w:t>
            </w:r>
          </w:p>
        </w:tc>
        <w:tc>
          <w:tcPr>
            <w:tcW w:type="dxa" w:w="794"/>
          </w:tcPr>
          <w:p>
            <w:pPr>
              <w:spacing w:after="0"/>
            </w:pPr>
            <w:r>
              <w:rPr>
                <w:sz w:val="17"/>
              </w:rPr>
            </w:r>
            <w:r>
              <w:rPr>
                <w:sz w:val="17"/>
              </w:rPr>
              <w:t>0.6</w:t>
            </w:r>
          </w:p>
        </w:tc>
        <w:tc>
          <w:tcPr>
            <w:tcW w:type="dxa" w:w="680"/>
          </w:tcPr>
          <w:p>
            <w:pPr>
              <w:spacing w:after="0"/>
            </w:pPr>
            <w:r>
              <w:rPr>
                <w:sz w:val="17"/>
              </w:rPr>
            </w:r>
            <w:r>
              <w:rPr>
                <w:sz w:val="17"/>
              </w:rPr>
              <w:t>2.3</w:t>
            </w:r>
          </w:p>
        </w:tc>
        <w:tc>
          <w:tcPr>
            <w:tcW w:type="dxa" w:w="850"/>
          </w:tcPr>
          <w:p>
            <w:pPr>
              <w:spacing w:after="0"/>
            </w:pPr>
            <w:r>
              <w:rPr>
                <w:sz w:val="17"/>
              </w:rPr>
            </w:r>
            <w:r>
              <w:rPr>
                <w:sz w:val="17"/>
              </w:rPr>
              <w:t>5.9</w:t>
            </w:r>
          </w:p>
        </w:tc>
        <w:tc>
          <w:tcPr>
            <w:tcW w:type="dxa" w:w="1247"/>
          </w:tcPr>
          <w:p>
            <w:pPr>
              <w:spacing w:after="0"/>
            </w:pPr>
            <w:r>
              <w:rPr>
                <w:sz w:val="17"/>
              </w:rPr>
            </w:r>
            <w:r>
              <w:rPr>
                <w:sz w:val="17"/>
              </w:rPr>
              <w:t>10.6</w:t>
            </w:r>
          </w:p>
        </w:tc>
        <w:tc>
          <w:tcPr>
            <w:tcW w:type="dxa" w:w="1361"/>
          </w:tcPr>
          <w:p>
            <w:pPr>
              <w:spacing w:after="0"/>
            </w:pPr>
            <w:r>
              <w:rPr>
                <w:sz w:val="17"/>
              </w:rPr>
            </w:r>
            <w:r>
              <w:rPr>
                <w:b/>
                <w:sz w:val="17"/>
              </w:rPr>
              <w:t>60.4</w:t>
            </w:r>
          </w:p>
        </w:tc>
      </w:tr>
      <w:tr>
        <w:tc>
          <w:tcPr>
            <w:tcW w:type="dxa" w:w="1644"/>
          </w:tcPr>
          <w:p>
            <w:pPr>
              <w:spacing w:after="0"/>
            </w:pPr>
            <w:r>
              <w:rPr>
                <w:sz w:val="17"/>
              </w:rPr>
            </w:r>
            <w:r>
              <w:rPr>
                <w:sz w:val="17"/>
              </w:rPr>
              <w:t>0.35×</w:t>
            </w:r>
          </w:p>
        </w:tc>
        <w:tc>
          <w:tcPr>
            <w:tcW w:type="dxa" w:w="680"/>
          </w:tcPr>
          <w:p>
            <w:pPr>
              <w:spacing w:after="0"/>
            </w:pPr>
            <w:r>
              <w:rPr>
                <w:sz w:val="17"/>
              </w:rPr>
            </w:r>
            <w:r>
              <w:rPr>
                <w:sz w:val="17"/>
              </w:rPr>
              <w:t>26.5</w:t>
            </w:r>
          </w:p>
        </w:tc>
        <w:tc>
          <w:tcPr>
            <w:tcW w:type="dxa" w:w="850"/>
          </w:tcPr>
          <w:p>
            <w:pPr>
              <w:spacing w:after="0"/>
            </w:pPr>
            <w:r>
              <w:rPr>
                <w:sz w:val="17"/>
              </w:rPr>
            </w:r>
            <w:r>
              <w:rPr>
                <w:sz w:val="17"/>
              </w:rPr>
              <w:t>6.6</w:t>
            </w:r>
          </w:p>
        </w:tc>
        <w:tc>
          <w:tcPr>
            <w:tcW w:type="dxa" w:w="850"/>
          </w:tcPr>
          <w:p>
            <w:pPr>
              <w:spacing w:after="0"/>
            </w:pPr>
            <w:r>
              <w:rPr>
                <w:sz w:val="17"/>
              </w:rPr>
            </w:r>
            <w:r>
              <w:rPr>
                <w:sz w:val="17"/>
              </w:rPr>
              <w:t>0.8</w:t>
            </w:r>
          </w:p>
        </w:tc>
        <w:tc>
          <w:tcPr>
            <w:tcW w:type="dxa" w:w="794"/>
          </w:tcPr>
          <w:p>
            <w:pPr>
              <w:spacing w:after="0"/>
            </w:pPr>
            <w:r>
              <w:rPr>
                <w:sz w:val="17"/>
              </w:rPr>
            </w:r>
            <w:r>
              <w:rPr>
                <w:sz w:val="17"/>
              </w:rPr>
              <w:t>0.5</w:t>
            </w:r>
          </w:p>
        </w:tc>
        <w:tc>
          <w:tcPr>
            <w:tcW w:type="dxa" w:w="680"/>
          </w:tcPr>
          <w:p>
            <w:pPr>
              <w:spacing w:after="0"/>
            </w:pPr>
            <w:r>
              <w:rPr>
                <w:sz w:val="17"/>
              </w:rPr>
            </w:r>
            <w:r>
              <w:rPr>
                <w:sz w:val="17"/>
              </w:rPr>
              <w:t>2.3</w:t>
            </w:r>
          </w:p>
        </w:tc>
        <w:tc>
          <w:tcPr>
            <w:tcW w:type="dxa" w:w="850"/>
          </w:tcPr>
          <w:p>
            <w:pPr>
              <w:spacing w:after="0"/>
            </w:pPr>
            <w:r>
              <w:rPr>
                <w:sz w:val="17"/>
              </w:rPr>
            </w:r>
            <w:r>
              <w:rPr>
                <w:sz w:val="17"/>
              </w:rPr>
              <w:t>5.5</w:t>
            </w:r>
          </w:p>
        </w:tc>
        <w:tc>
          <w:tcPr>
            <w:tcW w:type="dxa" w:w="1247"/>
          </w:tcPr>
          <w:p>
            <w:pPr>
              <w:spacing w:after="0"/>
            </w:pPr>
            <w:r>
              <w:rPr>
                <w:sz w:val="17"/>
              </w:rPr>
            </w:r>
            <w:r>
              <w:rPr>
                <w:sz w:val="17"/>
              </w:rPr>
              <w:t>9.5</w:t>
            </w:r>
          </w:p>
        </w:tc>
        <w:tc>
          <w:tcPr>
            <w:tcW w:type="dxa" w:w="1361"/>
          </w:tcPr>
          <w:p>
            <w:pPr>
              <w:spacing w:after="0"/>
            </w:pPr>
            <w:r>
              <w:rPr>
                <w:sz w:val="17"/>
              </w:rPr>
            </w:r>
            <w:r>
              <w:rPr>
                <w:b/>
                <w:sz w:val="17"/>
              </w:rPr>
              <w:t>64.0</w:t>
            </w:r>
          </w:p>
        </w:tc>
      </w:tr>
      <w:tr>
        <w:tc>
          <w:tcPr>
            <w:tcW w:type="dxa" w:w="1644"/>
          </w:tcPr>
          <w:p>
            <w:pPr>
              <w:spacing w:after="0"/>
            </w:pPr>
            <w:r>
              <w:rPr>
                <w:sz w:val="17"/>
              </w:rPr>
            </w:r>
            <w:r>
              <w:rPr>
                <w:sz w:val="17"/>
              </w:rPr>
              <w:t>LPWA-50</w:t>
            </w:r>
          </w:p>
        </w:tc>
        <w:tc>
          <w:tcPr>
            <w:tcW w:type="dxa" w:w="680"/>
          </w:tcPr>
          <w:p>
            <w:pPr>
              <w:spacing w:after="0"/>
            </w:pPr>
            <w:r>
              <w:rPr>
                <w:sz w:val="17"/>
              </w:rPr>
            </w:r>
            <w:r>
              <w:rPr>
                <w:sz w:val="17"/>
              </w:rPr>
              <w:t>30.3</w:t>
            </w:r>
          </w:p>
        </w:tc>
        <w:tc>
          <w:tcPr>
            <w:tcW w:type="dxa" w:w="850"/>
          </w:tcPr>
          <w:p>
            <w:pPr>
              <w:spacing w:after="0"/>
            </w:pPr>
            <w:r>
              <w:rPr>
                <w:sz w:val="17"/>
              </w:rPr>
            </w:r>
            <w:r>
              <w:rPr>
                <w:sz w:val="17"/>
              </w:rPr>
              <w:t>7.4</w:t>
            </w:r>
          </w:p>
        </w:tc>
        <w:tc>
          <w:tcPr>
            <w:tcW w:type="dxa" w:w="850"/>
          </w:tcPr>
          <w:p>
            <w:pPr>
              <w:spacing w:after="0"/>
            </w:pPr>
            <w:r>
              <w:rPr>
                <w:sz w:val="17"/>
              </w:rPr>
            </w:r>
            <w:r>
              <w:rPr>
                <w:sz w:val="17"/>
              </w:rPr>
              <w:t>1.0</w:t>
            </w:r>
          </w:p>
        </w:tc>
        <w:tc>
          <w:tcPr>
            <w:tcW w:type="dxa" w:w="794"/>
          </w:tcPr>
          <w:p>
            <w:pPr>
              <w:spacing w:after="0"/>
            </w:pPr>
            <w:r>
              <w:rPr>
                <w:sz w:val="17"/>
              </w:rPr>
            </w:r>
            <w:r>
              <w:rPr>
                <w:sz w:val="17"/>
              </w:rPr>
              <w:t>0.6</w:t>
            </w:r>
          </w:p>
        </w:tc>
        <w:tc>
          <w:tcPr>
            <w:tcW w:type="dxa" w:w="680"/>
          </w:tcPr>
          <w:p>
            <w:pPr>
              <w:spacing w:after="0"/>
            </w:pPr>
            <w:r>
              <w:rPr>
                <w:sz w:val="17"/>
              </w:rPr>
            </w:r>
            <w:r>
              <w:rPr>
                <w:sz w:val="17"/>
              </w:rPr>
              <w:t>2.2</w:t>
            </w:r>
          </w:p>
        </w:tc>
        <w:tc>
          <w:tcPr>
            <w:tcW w:type="dxa" w:w="850"/>
          </w:tcPr>
          <w:p>
            <w:pPr>
              <w:spacing w:after="0"/>
            </w:pPr>
            <w:r>
              <w:rPr>
                <w:sz w:val="17"/>
              </w:rPr>
            </w:r>
            <w:r>
              <w:rPr>
                <w:sz w:val="17"/>
              </w:rPr>
              <w:t>6.4</w:t>
            </w:r>
          </w:p>
        </w:tc>
        <w:tc>
          <w:tcPr>
            <w:tcW w:type="dxa" w:w="1247"/>
          </w:tcPr>
          <w:p>
            <w:pPr>
              <w:spacing w:after="0"/>
            </w:pPr>
            <w:r>
              <w:rPr>
                <w:sz w:val="17"/>
              </w:rPr>
            </w:r>
            <w:r>
              <w:rPr>
                <w:sz w:val="17"/>
              </w:rPr>
              <w:t>10.9</w:t>
            </w:r>
          </w:p>
        </w:tc>
        <w:tc>
          <w:tcPr>
            <w:tcW w:type="dxa" w:w="1361"/>
          </w:tcPr>
          <w:p>
            <w:pPr>
              <w:spacing w:after="0"/>
            </w:pPr>
            <w:r>
              <w:rPr>
                <w:sz w:val="17"/>
              </w:rPr>
            </w:r>
            <w:r>
              <w:rPr>
                <w:sz w:val="17"/>
              </w:rPr>
              <w:t>58.8</w:t>
            </w:r>
          </w:p>
        </w:tc>
      </w:tr>
      <w:tr>
        <w:tc>
          <w:tcPr>
            <w:tcW w:type="dxa" w:w="1644"/>
          </w:tcPr>
          <w:p>
            <w:pPr>
              <w:spacing w:after="0"/>
            </w:pPr>
            <w:r>
              <w:rPr>
                <w:sz w:val="17"/>
              </w:rPr>
            </w:r>
            <w:r>
              <w:rPr>
                <w:sz w:val="17"/>
              </w:rPr>
              <w:t>0.75× distilled</w:t>
            </w:r>
          </w:p>
        </w:tc>
        <w:tc>
          <w:tcPr>
            <w:tcW w:type="dxa" w:w="680"/>
          </w:tcPr>
          <w:p>
            <w:pPr>
              <w:spacing w:after="0"/>
            </w:pPr>
            <w:r>
              <w:rPr>
                <w:sz w:val="17"/>
              </w:rPr>
            </w:r>
            <w:r>
              <w:rPr>
                <w:sz w:val="17"/>
              </w:rPr>
              <w:t>35.2</w:t>
            </w:r>
          </w:p>
        </w:tc>
        <w:tc>
          <w:tcPr>
            <w:tcW w:type="dxa" w:w="850"/>
          </w:tcPr>
          <w:p>
            <w:pPr>
              <w:spacing w:after="0"/>
            </w:pPr>
            <w:r>
              <w:rPr>
                <w:sz w:val="17"/>
              </w:rPr>
            </w:r>
            <w:r>
              <w:rPr>
                <w:sz w:val="17"/>
              </w:rPr>
              <w:t>8.9</w:t>
            </w:r>
          </w:p>
        </w:tc>
        <w:tc>
          <w:tcPr>
            <w:tcW w:type="dxa" w:w="850"/>
          </w:tcPr>
          <w:p>
            <w:pPr>
              <w:spacing w:after="0"/>
            </w:pPr>
            <w:r>
              <w:rPr>
                <w:sz w:val="17"/>
              </w:rPr>
            </w:r>
            <w:r>
              <w:rPr>
                <w:sz w:val="17"/>
              </w:rPr>
              <w:t>1.3</w:t>
            </w:r>
          </w:p>
        </w:tc>
        <w:tc>
          <w:tcPr>
            <w:tcW w:type="dxa" w:w="794"/>
          </w:tcPr>
          <w:p>
            <w:pPr>
              <w:spacing w:after="0"/>
            </w:pPr>
            <w:r>
              <w:rPr>
                <w:sz w:val="17"/>
              </w:rPr>
            </w:r>
            <w:r>
              <w:rPr>
                <w:sz w:val="17"/>
              </w:rPr>
              <w:t>1.0</w:t>
            </w:r>
          </w:p>
        </w:tc>
        <w:tc>
          <w:tcPr>
            <w:tcW w:type="dxa" w:w="680"/>
          </w:tcPr>
          <w:p>
            <w:pPr>
              <w:spacing w:after="0"/>
            </w:pPr>
            <w:r>
              <w:rPr>
                <w:sz w:val="17"/>
              </w:rPr>
            </w:r>
            <w:r>
              <w:rPr>
                <w:sz w:val="17"/>
              </w:rPr>
              <w:t>2.3</w:t>
            </w:r>
          </w:p>
        </w:tc>
        <w:tc>
          <w:tcPr>
            <w:tcW w:type="dxa" w:w="850"/>
          </w:tcPr>
          <w:p>
            <w:pPr>
              <w:spacing w:after="0"/>
            </w:pPr>
            <w:r>
              <w:rPr>
                <w:sz w:val="17"/>
              </w:rPr>
            </w:r>
            <w:r>
              <w:rPr>
                <w:sz w:val="17"/>
              </w:rPr>
              <w:t>8.4</w:t>
            </w:r>
          </w:p>
        </w:tc>
        <w:tc>
          <w:tcPr>
            <w:tcW w:type="dxa" w:w="1247"/>
          </w:tcPr>
          <w:p>
            <w:pPr>
              <w:spacing w:after="0"/>
            </w:pPr>
            <w:r>
              <w:rPr>
                <w:sz w:val="17"/>
              </w:rPr>
            </w:r>
            <w:r>
              <w:rPr>
                <w:sz w:val="17"/>
              </w:rPr>
              <w:t>13.0</w:t>
            </w:r>
          </w:p>
        </w:tc>
        <w:tc>
          <w:tcPr>
            <w:tcW w:type="dxa" w:w="1361"/>
          </w:tcPr>
          <w:p>
            <w:pPr>
              <w:spacing w:after="0"/>
            </w:pPr>
            <w:r>
              <w:rPr>
                <w:sz w:val="17"/>
              </w:rPr>
            </w:r>
            <w:r>
              <w:rPr>
                <w:b/>
                <w:sz w:val="17"/>
              </w:rPr>
              <w:t>51.8</w:t>
            </w:r>
          </w:p>
        </w:tc>
      </w:tr>
      <w:tr>
        <w:tc>
          <w:tcPr>
            <w:tcW w:type="dxa" w:w="1644"/>
          </w:tcPr>
          <w:p>
            <w:pPr>
              <w:spacing w:after="0"/>
            </w:pPr>
            <w:r>
              <w:rPr>
                <w:sz w:val="17"/>
              </w:rPr>
            </w:r>
            <w:r>
              <w:rPr>
                <w:sz w:val="17"/>
              </w:rPr>
              <w:t>1.00× pretrained</w:t>
            </w:r>
          </w:p>
        </w:tc>
        <w:tc>
          <w:tcPr>
            <w:tcW w:type="dxa" w:w="680"/>
          </w:tcPr>
          <w:p>
            <w:pPr>
              <w:spacing w:after="0"/>
            </w:pPr>
            <w:r>
              <w:rPr>
                <w:sz w:val="17"/>
              </w:rPr>
            </w:r>
            <w:r>
              <w:rPr>
                <w:sz w:val="17"/>
              </w:rPr>
              <w:t>42.3</w:t>
            </w:r>
          </w:p>
        </w:tc>
        <w:tc>
          <w:tcPr>
            <w:tcW w:type="dxa" w:w="850"/>
          </w:tcPr>
          <w:p>
            <w:pPr>
              <w:spacing w:after="0"/>
            </w:pPr>
            <w:r>
              <w:rPr>
                <w:sz w:val="17"/>
              </w:rPr>
            </w:r>
            <w:r>
              <w:rPr>
                <w:sz w:val="17"/>
              </w:rPr>
              <w:t>12.5</w:t>
            </w:r>
          </w:p>
        </w:tc>
        <w:tc>
          <w:tcPr>
            <w:tcW w:type="dxa" w:w="850"/>
          </w:tcPr>
          <w:p>
            <w:pPr>
              <w:spacing w:after="0"/>
            </w:pPr>
            <w:r>
              <w:rPr>
                <w:sz w:val="17"/>
              </w:rPr>
            </w:r>
            <w:r>
              <w:rPr>
                <w:sz w:val="17"/>
              </w:rPr>
              <w:t>1.8</w:t>
            </w:r>
          </w:p>
        </w:tc>
        <w:tc>
          <w:tcPr>
            <w:tcW w:type="dxa" w:w="794"/>
          </w:tcPr>
          <w:p>
            <w:pPr>
              <w:spacing w:after="0"/>
            </w:pPr>
            <w:r>
              <w:rPr>
                <w:sz w:val="17"/>
              </w:rPr>
            </w:r>
            <w:r>
              <w:rPr>
                <w:sz w:val="17"/>
              </w:rPr>
              <w:t>1.4</w:t>
            </w:r>
          </w:p>
        </w:tc>
        <w:tc>
          <w:tcPr>
            <w:tcW w:type="dxa" w:w="680"/>
          </w:tcPr>
          <w:p>
            <w:pPr>
              <w:spacing w:after="0"/>
            </w:pPr>
            <w:r>
              <w:rPr>
                <w:sz w:val="17"/>
              </w:rPr>
            </w:r>
            <w:r>
              <w:rPr>
                <w:sz w:val="17"/>
              </w:rPr>
              <w:t>1.7</w:t>
            </w:r>
          </w:p>
        </w:tc>
        <w:tc>
          <w:tcPr>
            <w:tcW w:type="dxa" w:w="850"/>
          </w:tcPr>
          <w:p>
            <w:pPr>
              <w:spacing w:after="0"/>
            </w:pPr>
            <w:r>
              <w:rPr>
                <w:sz w:val="17"/>
              </w:rPr>
            </w:r>
            <w:r>
              <w:rPr>
                <w:sz w:val="17"/>
              </w:rPr>
              <w:t>12.8</w:t>
            </w:r>
          </w:p>
        </w:tc>
        <w:tc>
          <w:tcPr>
            <w:tcW w:type="dxa" w:w="1247"/>
          </w:tcPr>
          <w:p>
            <w:pPr>
              <w:spacing w:after="0"/>
            </w:pPr>
            <w:r>
              <w:rPr>
                <w:sz w:val="17"/>
              </w:rPr>
            </w:r>
            <w:r>
              <w:rPr>
                <w:sz w:val="17"/>
              </w:rPr>
              <w:t>16.3</w:t>
            </w:r>
          </w:p>
        </w:tc>
        <w:tc>
          <w:tcPr>
            <w:tcW w:type="dxa" w:w="1361"/>
          </w:tcPr>
          <w:p>
            <w:pPr>
              <w:spacing w:after="0"/>
            </w:pPr>
            <w:r>
              <w:rPr>
                <w:sz w:val="17"/>
              </w:rPr>
            </w:r>
            <w:r>
              <w:rPr>
                <w:b/>
                <w:sz w:val="17"/>
              </w:rPr>
              <w:t>41.4</w:t>
            </w:r>
          </w:p>
        </w:tc>
      </w:tr>
    </w:tbl>
    <w:p>
      <w:pPr>
        <w:spacing w:after="40"/>
      </w:pPr>
    </w:p>
    <w:p>
      <w:pPr>
        <w:jc w:val="both"/>
      </w:pPr>
      <w:r>
        <w:rPr>
          <w:b/>
        </w:rPr>
        <w:t>IoU sweep.</w:t>
      </w:r>
      <w:r>
        <w:t xml:space="preserve"> Distillation's AP gain was largest at IoU 0.70–0.80 (+1.70 and +1.32, against +0.78 at 0.50; Figure 4). This is consistent with tighter boxes and not only more detections. Its recall gain declined smoothly from +1.75 at IoU 0.50 to +0.47 at 0.90.</w:t>
      </w:r>
    </w:p>
    <w:p>
      <w:pPr>
        <w:keepNext/>
        <w:jc w:val="center"/>
      </w:pPr>
      <w:r>
        <w:drawing>
          <wp:inline xmlns:a="http://schemas.openxmlformats.org/drawingml/2006/main" xmlns:pic="http://schemas.openxmlformats.org/drawingml/2006/picture">
            <wp:extent cx="5760000" cy="2304000"/>
            <wp:docPr id="4" name="Picture 4"/>
            <wp:cNvGraphicFramePr>
              <a:graphicFrameLocks noChangeAspect="1"/>
            </wp:cNvGraphicFramePr>
            <a:graphic>
              <a:graphicData uri="http://schemas.openxmlformats.org/drawingml/2006/picture">
                <pic:pic>
                  <pic:nvPicPr>
                    <pic:cNvPr id="0" name="fig_iou.png"/>
                    <pic:cNvPicPr/>
                  </pic:nvPicPr>
                  <pic:blipFill>
                    <a:blip r:embed="rId12"/>
                    <a:stretch>
                      <a:fillRect/>
                    </a:stretch>
                  </pic:blipFill>
                  <pic:spPr>
                    <a:xfrm>
                      <a:off x="0" y="0"/>
                      <a:ext cx="5760000" cy="2304000"/>
                    </a:xfrm>
                    <a:prstGeom prst="rect"/>
                  </pic:spPr>
                </pic:pic>
              </a:graphicData>
            </a:graphic>
          </wp:inline>
        </w:drawing>
      </w:r>
    </w:p>
    <w:p>
      <w:pPr>
        <w:spacing w:after="200"/>
      </w:pPr>
      <w:r>
        <w:rPr>
          <w:b/>
          <w:sz w:val="19"/>
        </w:rPr>
        <w:t>Figure 4.</w:t>
      </w:r>
      <w:r>
        <w:rPr>
          <w:sz w:val="19"/>
        </w:rPr>
        <w:t xml:space="preserve"> Six-class AP (left) and localization recall at conf ≥ 0.25 (right) as a function of the IoU threshold on arm B.</w:t>
      </w:r>
    </w:p>
    <w:p>
      <w:pPr>
        <w:spacing w:after="40"/>
        <w:jc w:val="both"/>
      </w:pPr>
      <w:r>
        <w:rPr>
          <w:b/>
        </w:rPr>
        <w:t>Lesion size (exploratory thresholds).</w:t>
      </w:r>
      <w:r>
        <w:t xml:space="preserve"> We binned ground truth by tertiles of √area on arm B (cut points 42.7 and 77.1 px; Table 9, Figure 5).</w:t>
      </w:r>
    </w:p>
    <w:p>
      <w:pPr>
        <w:pStyle w:val="ListBullet"/>
        <w:spacing w:after="40"/>
      </w:pPr>
      <w:r>
        <w:rPr>
          <w:b/>
        </w:rPr>
        <w:t>Compression hurt small lesions most in relative terms.</w:t>
      </w:r>
      <w:r>
        <w:t xml:space="preserve"> 0.75× lost 23% of small-lesion recall against 2% of large-lesion recall; 0.50× lost 53% against 8%. Absolute losses were largest for medium lesions.</w:t>
      </w:r>
    </w:p>
    <w:p>
      <w:pPr>
        <w:pStyle w:val="ListBullet"/>
        <w:spacing w:after="40"/>
      </w:pPr>
      <w:r>
        <w:rPr>
          <w:b/>
        </w:rPr>
        <w:t>Distillation recovered</w:t>
      </w:r>
      <w:r>
        <w:t xml:space="preserve"> 59% (small), 75% (medium) and more than 100% (large) of the 0.75× loss.</w:t>
      </w:r>
    </w:p>
    <w:p>
      <w:pPr>
        <w:pStyle w:val="ListBullet"/>
        <w:spacing w:after="40"/>
      </w:pPr>
      <w:r>
        <w:rPr>
          <w:b/>
        </w:rPr>
        <w:t>Small lesions remain the unresolved problem:</w:t>
      </w:r>
      <w:r>
        <w:t xml:space="preserve"> even the pretrained model found only 14% of them.</w:t>
      </w:r>
    </w:p>
    <w:p>
      <w:pPr>
        <w:keepNext/>
        <w:spacing w:after="60"/>
      </w:pPr>
      <w:r>
        <w:rPr>
          <w:b/>
          <w:sz w:val="19"/>
        </w:rPr>
        <w:t>Table 9.</w:t>
      </w:r>
      <w:r>
        <w:rPr>
          <w:sz w:val="19"/>
        </w:rPr>
        <w:t xml:space="preserve"> Localization recall at IoU 0.50 by lesion size on arm B (tertiles of √area).</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268"/>
            <w:shd w:val="clear" w:color="auto" w:fill="E7ECF2"/>
          </w:tcPr>
          <w:p>
            <w:pPr>
              <w:spacing w:after="0"/>
            </w:pPr>
            <w:r>
              <w:rPr>
                <w:sz w:val="17"/>
              </w:rPr>
            </w:r>
            <w:r>
              <w:rPr>
                <w:b/>
                <w:sz w:val="17"/>
              </w:rPr>
              <w:t>Model</w:t>
            </w:r>
          </w:p>
        </w:tc>
        <w:tc>
          <w:tcPr>
            <w:tcW w:type="dxa" w:w="1928"/>
            <w:shd w:val="clear" w:color="auto" w:fill="E7ECF2"/>
          </w:tcPr>
          <w:p>
            <w:pPr>
              <w:spacing w:after="0"/>
            </w:pPr>
            <w:r>
              <w:rPr>
                <w:sz w:val="17"/>
              </w:rPr>
            </w:r>
            <w:r>
              <w:rPr>
                <w:b/>
                <w:sz w:val="17"/>
              </w:rPr>
              <w:t>Small (&lt; 43 px)</w:t>
            </w:r>
          </w:p>
        </w:tc>
        <w:tc>
          <w:tcPr>
            <w:tcW w:type="dxa" w:w="1701"/>
            <w:shd w:val="clear" w:color="auto" w:fill="E7ECF2"/>
          </w:tcPr>
          <w:p>
            <w:pPr>
              <w:spacing w:after="0"/>
            </w:pPr>
            <w:r>
              <w:rPr>
                <w:sz w:val="17"/>
              </w:rPr>
            </w:r>
            <w:r>
              <w:rPr>
                <w:b/>
                <w:sz w:val="17"/>
              </w:rPr>
              <w:t>Medium</w:t>
            </w:r>
          </w:p>
        </w:tc>
        <w:tc>
          <w:tcPr>
            <w:tcW w:type="dxa" w:w="1928"/>
            <w:shd w:val="clear" w:color="auto" w:fill="E7ECF2"/>
          </w:tcPr>
          <w:p>
            <w:pPr>
              <w:spacing w:after="0"/>
            </w:pPr>
            <w:r>
              <w:rPr>
                <w:sz w:val="17"/>
              </w:rPr>
            </w:r>
            <w:r>
              <w:rPr>
                <w:b/>
                <w:sz w:val="17"/>
              </w:rPr>
              <w:t>Large (≥ 77 px)</w:t>
            </w:r>
          </w:p>
        </w:tc>
      </w:tr>
      <w:tr>
        <w:tc>
          <w:tcPr>
            <w:tcW w:type="dxa" w:w="2268"/>
          </w:tcPr>
          <w:p>
            <w:pPr>
              <w:spacing w:after="0"/>
            </w:pPr>
            <w:r>
              <w:rPr>
                <w:sz w:val="17"/>
              </w:rPr>
            </w:r>
            <w:r>
              <w:rPr>
                <w:sz w:val="17"/>
              </w:rPr>
              <w:t>1.00× scratch</w:t>
            </w:r>
          </w:p>
        </w:tc>
        <w:tc>
          <w:tcPr>
            <w:tcW w:type="dxa" w:w="1928"/>
          </w:tcPr>
          <w:p>
            <w:pPr>
              <w:spacing w:after="0"/>
            </w:pPr>
            <w:r>
              <w:rPr>
                <w:sz w:val="17"/>
              </w:rPr>
            </w:r>
            <w:r>
              <w:rPr>
                <w:sz w:val="17"/>
              </w:rPr>
              <w:t>9.6</w:t>
            </w:r>
          </w:p>
        </w:tc>
        <w:tc>
          <w:tcPr>
            <w:tcW w:type="dxa" w:w="1701"/>
          </w:tcPr>
          <w:p>
            <w:pPr>
              <w:spacing w:after="0"/>
            </w:pPr>
            <w:r>
              <w:rPr>
                <w:sz w:val="17"/>
              </w:rPr>
            </w:r>
            <w:r>
              <w:rPr>
                <w:sz w:val="17"/>
              </w:rPr>
              <w:t>37.5</w:t>
            </w:r>
          </w:p>
        </w:tc>
        <w:tc>
          <w:tcPr>
            <w:tcW w:type="dxa" w:w="1928"/>
          </w:tcPr>
          <w:p>
            <w:pPr>
              <w:spacing w:after="0"/>
            </w:pPr>
            <w:r>
              <w:rPr>
                <w:sz w:val="17"/>
              </w:rPr>
            </w:r>
            <w:r>
              <w:rPr>
                <w:sz w:val="17"/>
              </w:rPr>
              <w:t>63.5</w:t>
            </w:r>
          </w:p>
        </w:tc>
      </w:tr>
      <w:tr>
        <w:tc>
          <w:tcPr>
            <w:tcW w:type="dxa" w:w="2268"/>
          </w:tcPr>
          <w:p>
            <w:pPr>
              <w:spacing w:after="0"/>
            </w:pPr>
            <w:r>
              <w:rPr>
                <w:sz w:val="17"/>
              </w:rPr>
            </w:r>
            <w:r>
              <w:rPr>
                <w:sz w:val="17"/>
              </w:rPr>
              <w:t>0.75×</w:t>
            </w:r>
          </w:p>
        </w:tc>
        <w:tc>
          <w:tcPr>
            <w:tcW w:type="dxa" w:w="1928"/>
          </w:tcPr>
          <w:p>
            <w:pPr>
              <w:spacing w:after="0"/>
            </w:pPr>
            <w:r>
              <w:rPr>
                <w:sz w:val="17"/>
              </w:rPr>
            </w:r>
            <w:r>
              <w:rPr>
                <w:sz w:val="17"/>
              </w:rPr>
              <w:t>7.4</w:t>
            </w:r>
          </w:p>
        </w:tc>
        <w:tc>
          <w:tcPr>
            <w:tcW w:type="dxa" w:w="1701"/>
          </w:tcPr>
          <w:p>
            <w:pPr>
              <w:spacing w:after="0"/>
            </w:pPr>
            <w:r>
              <w:rPr>
                <w:sz w:val="17"/>
              </w:rPr>
            </w:r>
            <w:r>
              <w:rPr>
                <w:sz w:val="17"/>
              </w:rPr>
              <w:t>34.1</w:t>
            </w:r>
          </w:p>
        </w:tc>
        <w:tc>
          <w:tcPr>
            <w:tcW w:type="dxa" w:w="1928"/>
          </w:tcPr>
          <w:p>
            <w:pPr>
              <w:spacing w:after="0"/>
            </w:pPr>
            <w:r>
              <w:rPr>
                <w:sz w:val="17"/>
              </w:rPr>
            </w:r>
            <w:r>
              <w:rPr>
                <w:sz w:val="17"/>
              </w:rPr>
              <w:t>62.0</w:t>
            </w:r>
          </w:p>
        </w:tc>
      </w:tr>
      <w:tr>
        <w:tc>
          <w:tcPr>
            <w:tcW w:type="dxa" w:w="2268"/>
          </w:tcPr>
          <w:p>
            <w:pPr>
              <w:spacing w:after="0"/>
            </w:pPr>
            <w:r>
              <w:rPr>
                <w:sz w:val="17"/>
              </w:rPr>
            </w:r>
            <w:r>
              <w:rPr>
                <w:sz w:val="17"/>
              </w:rPr>
              <w:t>0.50×</w:t>
            </w:r>
          </w:p>
        </w:tc>
        <w:tc>
          <w:tcPr>
            <w:tcW w:type="dxa" w:w="1928"/>
          </w:tcPr>
          <w:p>
            <w:pPr>
              <w:spacing w:after="0"/>
            </w:pPr>
            <w:r>
              <w:rPr>
                <w:sz w:val="17"/>
              </w:rPr>
            </w:r>
            <w:r>
              <w:rPr>
                <w:sz w:val="17"/>
              </w:rPr>
              <w:t>4.5</w:t>
            </w:r>
          </w:p>
        </w:tc>
        <w:tc>
          <w:tcPr>
            <w:tcW w:type="dxa" w:w="1701"/>
          </w:tcPr>
          <w:p>
            <w:pPr>
              <w:spacing w:after="0"/>
            </w:pPr>
            <w:r>
              <w:rPr>
                <w:sz w:val="17"/>
              </w:rPr>
            </w:r>
            <w:r>
              <w:rPr>
                <w:sz w:val="17"/>
              </w:rPr>
              <w:t>27.1</w:t>
            </w:r>
          </w:p>
        </w:tc>
        <w:tc>
          <w:tcPr>
            <w:tcW w:type="dxa" w:w="1928"/>
          </w:tcPr>
          <w:p>
            <w:pPr>
              <w:spacing w:after="0"/>
            </w:pPr>
            <w:r>
              <w:rPr>
                <w:sz w:val="17"/>
              </w:rPr>
            </w:r>
            <w:r>
              <w:rPr>
                <w:sz w:val="17"/>
              </w:rPr>
              <w:t>58.1</w:t>
            </w:r>
          </w:p>
        </w:tc>
      </w:tr>
      <w:tr>
        <w:tc>
          <w:tcPr>
            <w:tcW w:type="dxa" w:w="2268"/>
          </w:tcPr>
          <w:p>
            <w:pPr>
              <w:spacing w:after="0"/>
            </w:pPr>
            <w:r>
              <w:rPr>
                <w:sz w:val="17"/>
              </w:rPr>
            </w:r>
            <w:r>
              <w:rPr>
                <w:sz w:val="17"/>
              </w:rPr>
              <w:t>0.35×</w:t>
            </w:r>
          </w:p>
        </w:tc>
        <w:tc>
          <w:tcPr>
            <w:tcW w:type="dxa" w:w="1928"/>
          </w:tcPr>
          <w:p>
            <w:pPr>
              <w:spacing w:after="0"/>
            </w:pPr>
            <w:r>
              <w:rPr>
                <w:sz w:val="17"/>
              </w:rPr>
            </w:r>
            <w:r>
              <w:rPr>
                <w:sz w:val="17"/>
              </w:rPr>
              <w:t>3.5</w:t>
            </w:r>
          </w:p>
        </w:tc>
        <w:tc>
          <w:tcPr>
            <w:tcW w:type="dxa" w:w="1701"/>
          </w:tcPr>
          <w:p>
            <w:pPr>
              <w:spacing w:after="0"/>
            </w:pPr>
            <w:r>
              <w:rPr>
                <w:sz w:val="17"/>
              </w:rPr>
            </w:r>
            <w:r>
              <w:rPr>
                <w:sz w:val="17"/>
              </w:rPr>
              <w:t>23.3</w:t>
            </w:r>
          </w:p>
        </w:tc>
        <w:tc>
          <w:tcPr>
            <w:tcW w:type="dxa" w:w="1928"/>
          </w:tcPr>
          <w:p>
            <w:pPr>
              <w:spacing w:after="0"/>
            </w:pPr>
            <w:r>
              <w:rPr>
                <w:sz w:val="17"/>
              </w:rPr>
            </w:r>
            <w:r>
              <w:rPr>
                <w:sz w:val="17"/>
              </w:rPr>
              <w:t>54.6</w:t>
            </w:r>
          </w:p>
        </w:tc>
      </w:tr>
      <w:tr>
        <w:tc>
          <w:tcPr>
            <w:tcW w:type="dxa" w:w="2268"/>
          </w:tcPr>
          <w:p>
            <w:pPr>
              <w:spacing w:after="0"/>
            </w:pPr>
            <w:r>
              <w:rPr>
                <w:sz w:val="17"/>
              </w:rPr>
            </w:r>
            <w:r>
              <w:rPr>
                <w:sz w:val="17"/>
              </w:rPr>
              <w:t>0.75× distilled</w:t>
            </w:r>
          </w:p>
        </w:tc>
        <w:tc>
          <w:tcPr>
            <w:tcW w:type="dxa" w:w="1928"/>
          </w:tcPr>
          <w:p>
            <w:pPr>
              <w:spacing w:after="0"/>
            </w:pPr>
            <w:r>
              <w:rPr>
                <w:sz w:val="17"/>
              </w:rPr>
            </w:r>
            <w:r>
              <w:rPr>
                <w:sz w:val="17"/>
              </w:rPr>
              <w:t>8.7</w:t>
            </w:r>
          </w:p>
        </w:tc>
        <w:tc>
          <w:tcPr>
            <w:tcW w:type="dxa" w:w="1701"/>
          </w:tcPr>
          <w:p>
            <w:pPr>
              <w:spacing w:after="0"/>
            </w:pPr>
            <w:r>
              <w:rPr>
                <w:sz w:val="17"/>
              </w:rPr>
            </w:r>
            <w:r>
              <w:rPr>
                <w:sz w:val="17"/>
              </w:rPr>
              <w:t>36.6</w:t>
            </w:r>
          </w:p>
        </w:tc>
        <w:tc>
          <w:tcPr>
            <w:tcW w:type="dxa" w:w="1928"/>
          </w:tcPr>
          <w:p>
            <w:pPr>
              <w:spacing w:after="0"/>
            </w:pPr>
            <w:r>
              <w:rPr>
                <w:sz w:val="17"/>
              </w:rPr>
            </w:r>
            <w:r>
              <w:rPr>
                <w:sz w:val="17"/>
              </w:rPr>
              <w:t>63.5</w:t>
            </w:r>
          </w:p>
        </w:tc>
      </w:tr>
      <w:tr>
        <w:tc>
          <w:tcPr>
            <w:tcW w:type="dxa" w:w="2268"/>
          </w:tcPr>
          <w:p>
            <w:pPr>
              <w:spacing w:after="0"/>
            </w:pPr>
            <w:r>
              <w:rPr>
                <w:sz w:val="17"/>
              </w:rPr>
            </w:r>
            <w:r>
              <w:rPr>
                <w:sz w:val="17"/>
              </w:rPr>
              <w:t>1.00× pretrained</w:t>
            </w:r>
          </w:p>
        </w:tc>
        <w:tc>
          <w:tcPr>
            <w:tcW w:type="dxa" w:w="1928"/>
          </w:tcPr>
          <w:p>
            <w:pPr>
              <w:spacing w:after="0"/>
            </w:pPr>
            <w:r>
              <w:rPr>
                <w:sz w:val="17"/>
              </w:rPr>
            </w:r>
            <w:r>
              <w:rPr>
                <w:sz w:val="17"/>
              </w:rPr>
              <w:t>14.3</w:t>
            </w:r>
          </w:p>
        </w:tc>
        <w:tc>
          <w:tcPr>
            <w:tcW w:type="dxa" w:w="1701"/>
          </w:tcPr>
          <w:p>
            <w:pPr>
              <w:spacing w:after="0"/>
            </w:pPr>
            <w:r>
              <w:rPr>
                <w:sz w:val="17"/>
              </w:rPr>
            </w:r>
            <w:r>
              <w:rPr>
                <w:sz w:val="17"/>
              </w:rPr>
              <w:t>47.1</w:t>
            </w:r>
          </w:p>
        </w:tc>
        <w:tc>
          <w:tcPr>
            <w:tcW w:type="dxa" w:w="1928"/>
          </w:tcPr>
          <w:p>
            <w:pPr>
              <w:spacing w:after="0"/>
            </w:pPr>
            <w:r>
              <w:rPr>
                <w:sz w:val="17"/>
              </w:rPr>
            </w:r>
            <w:r>
              <w:rPr>
                <w:sz w:val="17"/>
              </w:rPr>
              <w:t>69.6</w:t>
            </w:r>
          </w:p>
        </w:tc>
      </w:tr>
    </w:tbl>
    <w:p>
      <w:pPr>
        <w:spacing w:after="40"/>
      </w:pPr>
    </w:p>
    <w:p>
      <w:pPr>
        <w:keepNext/>
        <w:jc w:val="center"/>
      </w:pPr>
      <w:r>
        <w:drawing>
          <wp:inline xmlns:a="http://schemas.openxmlformats.org/drawingml/2006/main" xmlns:pic="http://schemas.openxmlformats.org/drawingml/2006/picture">
            <wp:extent cx="4680000" cy="2674286"/>
            <wp:docPr id="5" name="Picture 5"/>
            <wp:cNvGraphicFramePr>
              <a:graphicFrameLocks noChangeAspect="1"/>
            </wp:cNvGraphicFramePr>
            <a:graphic>
              <a:graphicData uri="http://schemas.openxmlformats.org/drawingml/2006/picture">
                <pic:pic>
                  <pic:nvPicPr>
                    <pic:cNvPr id="0" name="fig_size.png"/>
                    <pic:cNvPicPr/>
                  </pic:nvPicPr>
                  <pic:blipFill>
                    <a:blip r:embed="rId13"/>
                    <a:stretch>
                      <a:fillRect/>
                    </a:stretch>
                  </pic:blipFill>
                  <pic:spPr>
                    <a:xfrm>
                      <a:off x="0" y="0"/>
                      <a:ext cx="4680000" cy="2674286"/>
                    </a:xfrm>
                    <a:prstGeom prst="rect"/>
                  </pic:spPr>
                </pic:pic>
              </a:graphicData>
            </a:graphic>
          </wp:inline>
        </w:drawing>
      </w:r>
    </w:p>
    <w:p>
      <w:pPr>
        <w:spacing w:after="200"/>
      </w:pPr>
      <w:r>
        <w:rPr>
          <w:b/>
          <w:sz w:val="19"/>
        </w:rPr>
        <w:t>Figure 5.</w:t>
      </w:r>
      <w:r>
        <w:rPr>
          <w:sz w:val="19"/>
        </w:rPr>
        <w:t xml:space="preserve"> Localization recall at IoU 0.50 by lesion-size tertile on arm B.</w:t>
      </w:r>
    </w:p>
    <w:p>
      <w:pPr>
        <w:jc w:val="both"/>
      </w:pPr>
      <w:r>
        <w:rPr>
          <w:b/>
        </w:rPr>
        <w:t>Per class (exploratory).</w:t>
      </w:r>
      <w:r>
        <w:t xml:space="preserve"> The recall loss from compression and the recall gain from distillation appeared in nearly every class. Three classes have fewer than 100 arm-B boxes (Late Blight 78, Potassium 39, Nitrogen 32). The two deficiency classes among them are nearly undetectable (AP &lt; 4) for every model (Supplementary Table S1).</w:t>
      </w:r>
    </w:p>
    <w:p>
      <w:pPr>
        <w:pStyle w:val="Heading2"/>
      </w:pPr>
      <w:r>
        <w:t>4.7 Operating points and calibration</w:t>
      </w:r>
    </w:p>
    <w:p>
      <w:pPr>
        <w:spacing w:after="40"/>
      </w:pPr>
      <w:r>
        <w:t>At matched false-positive rates of 2, 3 and 4 per family (Figure 6):</w:t>
      </w:r>
    </w:p>
    <w:p>
      <w:pPr>
        <w:pStyle w:val="ListBullet"/>
        <w:spacing w:after="40"/>
      </w:pPr>
      <w:r>
        <w:t>the distilled 0.75× (29.1 / 32.6 / 35.0% recall) matched the 1.00× scratch model (28.9 / 32.4 / 35.0%);</w:t>
      </w:r>
    </w:p>
    <w:p>
      <w:pPr>
        <w:pStyle w:val="ListBullet"/>
        <w:spacing w:after="40"/>
      </w:pPr>
      <w:r>
        <w:t>it exceeded the ordinary 0.75× by about 1.2 points;</w:t>
      </w:r>
    </w:p>
    <w:p>
      <w:pPr>
        <w:pStyle w:val="ListBullet"/>
        <w:spacing w:after="40"/>
      </w:pPr>
      <w:r>
        <w:t>the pretrained model was best (32.6 / 36.5 / 39.3%).</w:t>
      </w:r>
    </w:p>
    <w:p>
      <w:pPr>
        <w:jc w:val="both"/>
      </w:pPr>
      <w:r>
        <w:t>Detection calibration error (D-ECE, 10 bins) was 0.026–0.030 for every model and was not affected by compression or distillation (Supplementary Figure S1).</w:t>
      </w:r>
    </w:p>
    <w:p>
      <w:pPr>
        <w:keepNext/>
        <w:jc w:val="center"/>
      </w:pPr>
      <w:r>
        <w:drawing>
          <wp:inline xmlns:a="http://schemas.openxmlformats.org/drawingml/2006/main" xmlns:pic="http://schemas.openxmlformats.org/drawingml/2006/picture">
            <wp:extent cx="4140000" cy="2760000"/>
            <wp:docPr id="6" name="Picture 6"/>
            <wp:cNvGraphicFramePr>
              <a:graphicFrameLocks noChangeAspect="1"/>
            </wp:cNvGraphicFramePr>
            <a:graphic>
              <a:graphicData uri="http://schemas.openxmlformats.org/drawingml/2006/picture">
                <pic:pic>
                  <pic:nvPicPr>
                    <pic:cNvPr id="0" name="fig_operating.png"/>
                    <pic:cNvPicPr/>
                  </pic:nvPicPr>
                  <pic:blipFill>
                    <a:blip r:embed="rId14"/>
                    <a:stretch>
                      <a:fillRect/>
                    </a:stretch>
                  </pic:blipFill>
                  <pic:spPr>
                    <a:xfrm>
                      <a:off x="0" y="0"/>
                      <a:ext cx="4140000" cy="2760000"/>
                    </a:xfrm>
                    <a:prstGeom prst="rect"/>
                  </pic:spPr>
                </pic:pic>
              </a:graphicData>
            </a:graphic>
          </wp:inline>
        </w:drawing>
      </w:r>
    </w:p>
    <w:p>
      <w:pPr>
        <w:spacing w:after="200"/>
      </w:pPr>
      <w:r>
        <w:rPr>
          <w:b/>
          <w:sz w:val="19"/>
        </w:rPr>
        <w:t>Figure 6.</w:t>
      </w:r>
      <w:r>
        <w:rPr>
          <w:sz w:val="19"/>
        </w:rPr>
        <w:t xml:space="preserve"> Recall–false-positive operating curves on arm B for confidence thresholds 0.05–0.95.</w:t>
      </w:r>
    </w:p>
    <w:p>
      <w:pPr>
        <w:pStyle w:val="Heading2"/>
      </w:pPr>
      <w:r>
        <w:t>4.8 Leakage advantage depends on sibling similarity</w:t>
      </w:r>
    </w:p>
    <w:p>
      <w:pPr>
        <w:spacing w:after="40"/>
      </w:pPr>
      <w:r>
        <w:t>This analysis is exploratory, for the 1.00× scratch model. The exposure advantage in localization recall (arm A minus arm B, same file type) was largest for images closest in pixels to a training sibling:</w:t>
      </w:r>
    </w:p>
    <w:p>
      <w:pPr>
        <w:pStyle w:val="ListBullet"/>
        <w:spacing w:after="40"/>
      </w:pPr>
      <w:r>
        <w:t>originals: +13.6 points;</w:t>
      </w:r>
    </w:p>
    <w:p>
      <w:pPr>
        <w:pStyle w:val="ListBullet"/>
        <w:spacing w:after="40"/>
      </w:pPr>
      <w:r>
        <w:t>photometric copies: +15.6;</w:t>
      </w:r>
    </w:p>
    <w:p>
      <w:pPr>
        <w:pStyle w:val="ListBullet"/>
        <w:spacing w:after="40"/>
      </w:pPr>
      <w:r>
        <w:t>flips: about +14.5;</w:t>
      </w:r>
    </w:p>
    <w:p>
      <w:pPr>
        <w:pStyle w:val="ListBullet"/>
        <w:spacing w:after="40"/>
      </w:pPr>
      <w:r>
        <w:t>crop or rescale copies: smallest, +6.4.</w:t>
      </w:r>
    </w:p>
    <w:p>
      <w:pPr>
        <w:jc w:val="both"/>
      </w:pPr>
      <w:r>
        <w:t>Exposure benefit therefore follows visual similarity rather than being a uniform shift.</w:t>
      </w:r>
    </w:p>
    <w:p>
      <w:pPr>
        <w:pStyle w:val="Heading2"/>
      </w:pPr>
      <w:r>
        <w:t>4.9 Locked test evaluation</w:t>
      </w:r>
    </w:p>
    <w:p>
      <w:pPr>
        <w:jc w:val="both"/>
      </w:pPr>
      <w:r>
        <w:t>After every selection was frozen, the four models were evaluated once on the 268 test photographs, with five seeds each and identical settings (Table 10).</w:t>
      </w:r>
    </w:p>
    <w:p>
      <w:pPr>
        <w:keepNext/>
        <w:spacing w:after="60"/>
      </w:pPr>
      <w:r>
        <w:rPr>
          <w:b/>
          <w:sz w:val="19"/>
        </w:rPr>
        <w:t>Table 10.</w:t>
      </w:r>
      <w:r>
        <w:rPr>
          <w:sz w:val="19"/>
        </w:rPr>
        <w:t xml:space="preserve"> Locked test results (mean ± SD over 5 seeds; one evaluation).</w:t>
      </w:r>
    </w:p>
    <w:tbl>
      <w:tblPr>
        <w:tblStyle w:val="TableGrid"/>
        <w:tblW w:type="auto" w:w="0"/>
        <w:jc w:val="center"/>
        <w:tblLook w:firstColumn="1" w:firstRow="1" w:lastColumn="0" w:lastRow="0" w:noHBand="0" w:noVBand="1" w:val="04A0"/>
      </w:tblPr>
      <w:tblGrid>
        <w:gridCol w:w="930"/>
        <w:gridCol w:w="930"/>
        <w:gridCol w:w="930"/>
        <w:gridCol w:w="930"/>
        <w:gridCol w:w="930"/>
        <w:gridCol w:w="930"/>
        <w:gridCol w:w="930"/>
        <w:gridCol w:w="930"/>
        <w:gridCol w:w="930"/>
        <w:gridCol w:w="930"/>
      </w:tblGrid>
      <w:tr>
        <w:tc>
          <w:tcPr>
            <w:tcW w:type="dxa" w:w="1644"/>
            <w:shd w:val="clear" w:color="auto" w:fill="E7ECF2"/>
          </w:tcPr>
          <w:p>
            <w:pPr>
              <w:spacing w:after="0"/>
            </w:pPr>
            <w:r>
              <w:rPr>
                <w:sz w:val="16"/>
              </w:rPr>
            </w:r>
            <w:r>
              <w:rPr>
                <w:b/>
                <w:sz w:val="16"/>
              </w:rPr>
              <w:t>Model</w:t>
            </w:r>
          </w:p>
        </w:tc>
        <w:tc>
          <w:tcPr>
            <w:tcW w:type="dxa" w:w="737"/>
            <w:shd w:val="clear" w:color="auto" w:fill="E7ECF2"/>
          </w:tcPr>
          <w:p>
            <w:pPr>
              <w:spacing w:after="0"/>
            </w:pPr>
            <w:r>
              <w:rPr>
                <w:sz w:val="16"/>
              </w:rPr>
            </w:r>
            <w:r>
              <w:rPr>
                <w:b/>
                <w:sz w:val="16"/>
              </w:rPr>
              <w:t>Params</w:t>
            </w:r>
          </w:p>
        </w:tc>
        <w:tc>
          <w:tcPr>
            <w:tcW w:type="dxa" w:w="1247"/>
            <w:shd w:val="clear" w:color="auto" w:fill="E7ECF2"/>
          </w:tcPr>
          <w:p>
            <w:pPr>
              <w:spacing w:after="0"/>
            </w:pPr>
            <w:r>
              <w:rPr>
                <w:sz w:val="16"/>
              </w:rPr>
            </w:r>
            <w:r>
              <w:rPr>
                <w:b/>
                <w:sz w:val="16"/>
              </w:rPr>
              <w:t>AP</w:t>
            </w:r>
          </w:p>
        </w:tc>
        <w:tc>
          <w:tcPr>
            <w:tcW w:type="dxa" w:w="680"/>
            <w:shd w:val="clear" w:color="auto" w:fill="E7ECF2"/>
          </w:tcPr>
          <w:p>
            <w:pPr>
              <w:spacing w:after="0"/>
            </w:pPr>
            <w:r>
              <w:rPr>
                <w:sz w:val="16"/>
              </w:rPr>
            </w:r>
            <w:r>
              <w:rPr>
                <w:b/>
                <w:sz w:val="16"/>
              </w:rPr>
              <w:t>AP50</w:t>
            </w:r>
          </w:p>
        </w:tc>
        <w:tc>
          <w:tcPr>
            <w:tcW w:type="dxa" w:w="680"/>
            <w:shd w:val="clear" w:color="auto" w:fill="E7ECF2"/>
          </w:tcPr>
          <w:p>
            <w:pPr>
              <w:spacing w:after="0"/>
            </w:pPr>
            <w:r>
              <w:rPr>
                <w:sz w:val="16"/>
              </w:rPr>
            </w:r>
            <w:r>
              <w:rPr>
                <w:b/>
                <w:sz w:val="16"/>
              </w:rPr>
              <w:t>AP75</w:t>
            </w:r>
          </w:p>
        </w:tc>
        <w:tc>
          <w:tcPr>
            <w:tcW w:type="dxa" w:w="737"/>
            <w:shd w:val="clear" w:color="auto" w:fill="E7ECF2"/>
          </w:tcPr>
          <w:p>
            <w:pPr>
              <w:spacing w:after="0"/>
            </w:pPr>
            <w:r>
              <w:rPr>
                <w:sz w:val="16"/>
              </w:rPr>
            </w:r>
            <w:r>
              <w:rPr>
                <w:b/>
                <w:sz w:val="16"/>
              </w:rPr>
              <w:t>AR100</w:t>
            </w:r>
          </w:p>
        </w:tc>
        <w:tc>
          <w:tcPr>
            <w:tcW w:type="dxa" w:w="907"/>
            <w:shd w:val="clear" w:color="auto" w:fill="E7ECF2"/>
          </w:tcPr>
          <w:p>
            <w:pPr>
              <w:spacing w:after="0"/>
            </w:pPr>
            <w:r>
              <w:rPr>
                <w:sz w:val="16"/>
              </w:rPr>
            </w:r>
            <w:r>
              <w:rPr>
                <w:b/>
                <w:sz w:val="16"/>
              </w:rPr>
              <w:t>Loc. R@0.50</w:t>
            </w:r>
          </w:p>
        </w:tc>
        <w:tc>
          <w:tcPr>
            <w:tcW w:type="dxa" w:w="907"/>
            <w:shd w:val="clear" w:color="auto" w:fill="E7ECF2"/>
          </w:tcPr>
          <w:p>
            <w:pPr>
              <w:spacing w:after="0"/>
            </w:pPr>
            <w:r>
              <w:rPr>
                <w:sz w:val="16"/>
              </w:rPr>
            </w:r>
            <w:r>
              <w:rPr>
                <w:b/>
                <w:sz w:val="16"/>
              </w:rPr>
              <w:t>Loc. R@0.75</w:t>
            </w:r>
          </w:p>
        </w:tc>
        <w:tc>
          <w:tcPr>
            <w:tcW w:type="dxa" w:w="850"/>
            <w:shd w:val="clear" w:color="auto" w:fill="E7ECF2"/>
          </w:tcPr>
          <w:p>
            <w:pPr>
              <w:spacing w:after="0"/>
            </w:pPr>
            <w:r>
              <w:rPr>
                <w:sz w:val="16"/>
              </w:rPr>
            </w:r>
            <w:r>
              <w:rPr>
                <w:b/>
                <w:sz w:val="16"/>
              </w:rPr>
              <w:t>Cls. correct</w:t>
            </w:r>
          </w:p>
        </w:tc>
        <w:tc>
          <w:tcPr>
            <w:tcW w:type="dxa" w:w="794"/>
            <w:shd w:val="clear" w:color="auto" w:fill="E7ECF2"/>
          </w:tcPr>
          <w:p>
            <w:pPr>
              <w:spacing w:after="0"/>
            </w:pPr>
            <w:r>
              <w:rPr>
                <w:sz w:val="16"/>
              </w:rPr>
            </w:r>
            <w:r>
              <w:rPr>
                <w:b/>
                <w:sz w:val="16"/>
              </w:rPr>
              <w:t>FP/family</w:t>
            </w:r>
          </w:p>
        </w:tc>
      </w:tr>
      <w:tr>
        <w:tc>
          <w:tcPr>
            <w:tcW w:type="dxa" w:w="1644"/>
          </w:tcPr>
          <w:p>
            <w:pPr>
              <w:spacing w:after="0"/>
            </w:pPr>
            <w:r>
              <w:rPr>
                <w:sz w:val="16"/>
              </w:rPr>
            </w:r>
            <w:r>
              <w:rPr>
                <w:b/>
                <w:sz w:val="16"/>
              </w:rPr>
              <w:t>Distilled 0.75×</w:t>
            </w:r>
          </w:p>
        </w:tc>
        <w:tc>
          <w:tcPr>
            <w:tcW w:type="dxa" w:w="737"/>
          </w:tcPr>
          <w:p>
            <w:pPr>
              <w:spacing w:after="0"/>
            </w:pPr>
            <w:r>
              <w:rPr>
                <w:sz w:val="16"/>
              </w:rPr>
            </w:r>
            <w:r>
              <w:rPr>
                <w:sz w:val="16"/>
              </w:rPr>
              <w:t>1.57 M</w:t>
            </w:r>
          </w:p>
        </w:tc>
        <w:tc>
          <w:tcPr>
            <w:tcW w:type="dxa" w:w="1247"/>
          </w:tcPr>
          <w:p>
            <w:pPr>
              <w:spacing w:after="0"/>
            </w:pPr>
            <w:r>
              <w:rPr>
                <w:sz w:val="16"/>
              </w:rPr>
            </w:r>
            <w:r>
              <w:rPr>
                <w:b/>
                <w:sz w:val="16"/>
              </w:rPr>
              <w:t>16.08 ± 0.96</w:t>
            </w:r>
          </w:p>
        </w:tc>
        <w:tc>
          <w:tcPr>
            <w:tcW w:type="dxa" w:w="680"/>
          </w:tcPr>
          <w:p>
            <w:pPr>
              <w:spacing w:after="0"/>
            </w:pPr>
            <w:r>
              <w:rPr>
                <w:sz w:val="16"/>
              </w:rPr>
            </w:r>
            <w:r>
              <w:rPr>
                <w:sz w:val="16"/>
              </w:rPr>
              <w:t>33.07</w:t>
            </w:r>
          </w:p>
        </w:tc>
        <w:tc>
          <w:tcPr>
            <w:tcW w:type="dxa" w:w="680"/>
          </w:tcPr>
          <w:p>
            <w:pPr>
              <w:spacing w:after="0"/>
            </w:pPr>
            <w:r>
              <w:rPr>
                <w:sz w:val="16"/>
              </w:rPr>
            </w:r>
            <w:r>
              <w:rPr>
                <w:sz w:val="16"/>
              </w:rPr>
              <w:t>13.71</w:t>
            </w:r>
          </w:p>
        </w:tc>
        <w:tc>
          <w:tcPr>
            <w:tcW w:type="dxa" w:w="737"/>
          </w:tcPr>
          <w:p>
            <w:pPr>
              <w:spacing w:after="0"/>
            </w:pPr>
            <w:r>
              <w:rPr>
                <w:sz w:val="16"/>
              </w:rPr>
            </w:r>
            <w:r>
              <w:rPr>
                <w:sz w:val="16"/>
              </w:rPr>
              <w:t>31.29</w:t>
            </w:r>
          </w:p>
        </w:tc>
        <w:tc>
          <w:tcPr>
            <w:tcW w:type="dxa" w:w="907"/>
          </w:tcPr>
          <w:p>
            <w:pPr>
              <w:spacing w:after="0"/>
            </w:pPr>
            <w:r>
              <w:rPr>
                <w:sz w:val="16"/>
              </w:rPr>
            </w:r>
            <w:r>
              <w:rPr>
                <w:sz w:val="16"/>
              </w:rPr>
              <w:t>39.64</w:t>
            </w:r>
          </w:p>
        </w:tc>
        <w:tc>
          <w:tcPr>
            <w:tcW w:type="dxa" w:w="907"/>
          </w:tcPr>
          <w:p>
            <w:pPr>
              <w:spacing w:after="0"/>
            </w:pPr>
            <w:r>
              <w:rPr>
                <w:sz w:val="16"/>
              </w:rPr>
            </w:r>
            <w:r>
              <w:rPr>
                <w:sz w:val="16"/>
              </w:rPr>
              <w:t>22.05</w:t>
            </w:r>
          </w:p>
        </w:tc>
        <w:tc>
          <w:tcPr>
            <w:tcW w:type="dxa" w:w="850"/>
          </w:tcPr>
          <w:p>
            <w:pPr>
              <w:spacing w:after="0"/>
            </w:pPr>
            <w:r>
              <w:rPr>
                <w:sz w:val="16"/>
              </w:rPr>
            </w:r>
            <w:r>
              <w:rPr>
                <w:sz w:val="16"/>
              </w:rPr>
              <w:t>96.5</w:t>
            </w:r>
          </w:p>
        </w:tc>
        <w:tc>
          <w:tcPr>
            <w:tcW w:type="dxa" w:w="794"/>
          </w:tcPr>
          <w:p>
            <w:pPr>
              <w:spacing w:after="0"/>
            </w:pPr>
            <w:r>
              <w:rPr>
                <w:sz w:val="16"/>
              </w:rPr>
            </w:r>
            <w:r>
              <w:rPr>
                <w:sz w:val="16"/>
              </w:rPr>
              <w:t>2.63</w:t>
            </w:r>
          </w:p>
        </w:tc>
      </w:tr>
      <w:tr>
        <w:tc>
          <w:tcPr>
            <w:tcW w:type="dxa" w:w="1644"/>
          </w:tcPr>
          <w:p>
            <w:pPr>
              <w:spacing w:after="0"/>
            </w:pPr>
            <w:r>
              <w:rPr>
                <w:sz w:val="16"/>
              </w:rPr>
            </w:r>
            <w:r>
              <w:rPr>
                <w:sz w:val="16"/>
              </w:rPr>
              <w:t>Ordinary 0.75×</w:t>
            </w:r>
          </w:p>
        </w:tc>
        <w:tc>
          <w:tcPr>
            <w:tcW w:type="dxa" w:w="737"/>
          </w:tcPr>
          <w:p>
            <w:pPr>
              <w:spacing w:after="0"/>
            </w:pPr>
            <w:r>
              <w:rPr>
                <w:sz w:val="16"/>
              </w:rPr>
            </w:r>
            <w:r>
              <w:rPr>
                <w:sz w:val="16"/>
              </w:rPr>
              <w:t>1.57 M</w:t>
            </w:r>
          </w:p>
        </w:tc>
        <w:tc>
          <w:tcPr>
            <w:tcW w:type="dxa" w:w="1247"/>
          </w:tcPr>
          <w:p>
            <w:pPr>
              <w:spacing w:after="0"/>
            </w:pPr>
            <w:r>
              <w:rPr>
                <w:sz w:val="16"/>
              </w:rPr>
            </w:r>
            <w:r>
              <w:rPr>
                <w:sz w:val="16"/>
              </w:rPr>
              <w:t>14.95 ± 0.98</w:t>
            </w:r>
          </w:p>
        </w:tc>
        <w:tc>
          <w:tcPr>
            <w:tcW w:type="dxa" w:w="680"/>
          </w:tcPr>
          <w:p>
            <w:pPr>
              <w:spacing w:after="0"/>
            </w:pPr>
            <w:r>
              <w:rPr>
                <w:sz w:val="16"/>
              </w:rPr>
            </w:r>
            <w:r>
              <w:rPr>
                <w:sz w:val="16"/>
              </w:rPr>
              <w:t>31.23</w:t>
            </w:r>
          </w:p>
        </w:tc>
        <w:tc>
          <w:tcPr>
            <w:tcW w:type="dxa" w:w="680"/>
          </w:tcPr>
          <w:p>
            <w:pPr>
              <w:spacing w:after="0"/>
            </w:pPr>
            <w:r>
              <w:rPr>
                <w:sz w:val="16"/>
              </w:rPr>
            </w:r>
            <w:r>
              <w:rPr>
                <w:sz w:val="16"/>
              </w:rPr>
              <w:t>12.35</w:t>
            </w:r>
          </w:p>
        </w:tc>
        <w:tc>
          <w:tcPr>
            <w:tcW w:type="dxa" w:w="737"/>
          </w:tcPr>
          <w:p>
            <w:pPr>
              <w:spacing w:after="0"/>
            </w:pPr>
            <w:r>
              <w:rPr>
                <w:sz w:val="16"/>
              </w:rPr>
            </w:r>
            <w:r>
              <w:rPr>
                <w:sz w:val="16"/>
              </w:rPr>
              <w:t>29.58</w:t>
            </w:r>
          </w:p>
        </w:tc>
        <w:tc>
          <w:tcPr>
            <w:tcW w:type="dxa" w:w="907"/>
          </w:tcPr>
          <w:p>
            <w:pPr>
              <w:spacing w:after="0"/>
            </w:pPr>
            <w:r>
              <w:rPr>
                <w:sz w:val="16"/>
              </w:rPr>
            </w:r>
            <w:r>
              <w:rPr>
                <w:sz w:val="16"/>
              </w:rPr>
              <w:t>37.91</w:t>
            </w:r>
          </w:p>
        </w:tc>
        <w:tc>
          <w:tcPr>
            <w:tcW w:type="dxa" w:w="907"/>
          </w:tcPr>
          <w:p>
            <w:pPr>
              <w:spacing w:after="0"/>
            </w:pPr>
            <w:r>
              <w:rPr>
                <w:sz w:val="16"/>
              </w:rPr>
            </w:r>
            <w:r>
              <w:rPr>
                <w:sz w:val="16"/>
              </w:rPr>
              <w:t>20.79</w:t>
            </w:r>
          </w:p>
        </w:tc>
        <w:tc>
          <w:tcPr>
            <w:tcW w:type="dxa" w:w="850"/>
          </w:tcPr>
          <w:p>
            <w:pPr>
              <w:spacing w:after="0"/>
            </w:pPr>
            <w:r>
              <w:rPr>
                <w:sz w:val="16"/>
              </w:rPr>
            </w:r>
            <w:r>
              <w:rPr>
                <w:sz w:val="16"/>
              </w:rPr>
              <w:t>96.9</w:t>
            </w:r>
          </w:p>
        </w:tc>
        <w:tc>
          <w:tcPr>
            <w:tcW w:type="dxa" w:w="794"/>
          </w:tcPr>
          <w:p>
            <w:pPr>
              <w:spacing w:after="0"/>
            </w:pPr>
            <w:r>
              <w:rPr>
                <w:sz w:val="16"/>
              </w:rPr>
            </w:r>
            <w:r>
              <w:rPr>
                <w:sz w:val="16"/>
              </w:rPr>
              <w:t>2.47</w:t>
            </w:r>
          </w:p>
        </w:tc>
      </w:tr>
      <w:tr>
        <w:tc>
          <w:tcPr>
            <w:tcW w:type="dxa" w:w="1644"/>
          </w:tcPr>
          <w:p>
            <w:pPr>
              <w:spacing w:after="0"/>
            </w:pPr>
            <w:r>
              <w:rPr>
                <w:sz w:val="16"/>
              </w:rPr>
            </w:r>
            <w:r>
              <w:rPr>
                <w:sz w:val="16"/>
              </w:rPr>
              <w:t>From-scratch 1.00×</w:t>
            </w:r>
          </w:p>
        </w:tc>
        <w:tc>
          <w:tcPr>
            <w:tcW w:type="dxa" w:w="737"/>
          </w:tcPr>
          <w:p>
            <w:pPr>
              <w:spacing w:after="0"/>
            </w:pPr>
            <w:r>
              <w:rPr>
                <w:sz w:val="16"/>
              </w:rPr>
            </w:r>
            <w:r>
              <w:rPr>
                <w:sz w:val="16"/>
              </w:rPr>
              <w:t>2.59 M</w:t>
            </w:r>
          </w:p>
        </w:tc>
        <w:tc>
          <w:tcPr>
            <w:tcW w:type="dxa" w:w="1247"/>
          </w:tcPr>
          <w:p>
            <w:pPr>
              <w:spacing w:after="0"/>
            </w:pPr>
            <w:r>
              <w:rPr>
                <w:sz w:val="16"/>
              </w:rPr>
            </w:r>
            <w:r>
              <w:rPr>
                <w:sz w:val="16"/>
              </w:rPr>
              <w:t>16.19 ± 0.69</w:t>
            </w:r>
          </w:p>
        </w:tc>
        <w:tc>
          <w:tcPr>
            <w:tcW w:type="dxa" w:w="680"/>
          </w:tcPr>
          <w:p>
            <w:pPr>
              <w:spacing w:after="0"/>
            </w:pPr>
            <w:r>
              <w:rPr>
                <w:sz w:val="16"/>
              </w:rPr>
            </w:r>
            <w:r>
              <w:rPr>
                <w:sz w:val="16"/>
              </w:rPr>
              <w:t>33.69</w:t>
            </w:r>
          </w:p>
        </w:tc>
        <w:tc>
          <w:tcPr>
            <w:tcW w:type="dxa" w:w="680"/>
          </w:tcPr>
          <w:p>
            <w:pPr>
              <w:spacing w:after="0"/>
            </w:pPr>
            <w:r>
              <w:rPr>
                <w:sz w:val="16"/>
              </w:rPr>
            </w:r>
            <w:r>
              <w:rPr>
                <w:sz w:val="16"/>
              </w:rPr>
              <w:t>13.46</w:t>
            </w:r>
          </w:p>
        </w:tc>
        <w:tc>
          <w:tcPr>
            <w:tcW w:type="dxa" w:w="737"/>
          </w:tcPr>
          <w:p>
            <w:pPr>
              <w:spacing w:after="0"/>
            </w:pPr>
            <w:r>
              <w:rPr>
                <w:sz w:val="16"/>
              </w:rPr>
            </w:r>
            <w:r>
              <w:rPr>
                <w:sz w:val="16"/>
              </w:rPr>
              <w:t>31.55</w:t>
            </w:r>
          </w:p>
        </w:tc>
        <w:tc>
          <w:tcPr>
            <w:tcW w:type="dxa" w:w="907"/>
          </w:tcPr>
          <w:p>
            <w:pPr>
              <w:spacing w:after="0"/>
            </w:pPr>
            <w:r>
              <w:rPr>
                <w:sz w:val="16"/>
              </w:rPr>
            </w:r>
            <w:r>
              <w:rPr>
                <w:sz w:val="16"/>
              </w:rPr>
              <w:t>40.27</w:t>
            </w:r>
          </w:p>
        </w:tc>
        <w:tc>
          <w:tcPr>
            <w:tcW w:type="dxa" w:w="907"/>
          </w:tcPr>
          <w:p>
            <w:pPr>
              <w:spacing w:after="0"/>
            </w:pPr>
            <w:r>
              <w:rPr>
                <w:sz w:val="16"/>
              </w:rPr>
            </w:r>
            <w:r>
              <w:rPr>
                <w:sz w:val="16"/>
              </w:rPr>
              <w:t>22.12</w:t>
            </w:r>
          </w:p>
        </w:tc>
        <w:tc>
          <w:tcPr>
            <w:tcW w:type="dxa" w:w="850"/>
          </w:tcPr>
          <w:p>
            <w:pPr>
              <w:spacing w:after="0"/>
            </w:pPr>
            <w:r>
              <w:rPr>
                <w:sz w:val="16"/>
              </w:rPr>
            </w:r>
            <w:r>
              <w:rPr>
                <w:sz w:val="16"/>
              </w:rPr>
              <w:t>96.6</w:t>
            </w:r>
          </w:p>
        </w:tc>
        <w:tc>
          <w:tcPr>
            <w:tcW w:type="dxa" w:w="794"/>
          </w:tcPr>
          <w:p>
            <w:pPr>
              <w:spacing w:after="0"/>
            </w:pPr>
            <w:r>
              <w:rPr>
                <w:sz w:val="16"/>
              </w:rPr>
            </w:r>
            <w:r>
              <w:rPr>
                <w:sz w:val="16"/>
              </w:rPr>
              <w:t>2.68</w:t>
            </w:r>
          </w:p>
        </w:tc>
      </w:tr>
      <w:tr>
        <w:tc>
          <w:tcPr>
            <w:tcW w:type="dxa" w:w="1644"/>
          </w:tcPr>
          <w:p>
            <w:pPr>
              <w:spacing w:after="0"/>
            </w:pPr>
            <w:r>
              <w:rPr>
                <w:sz w:val="16"/>
              </w:rPr>
            </w:r>
            <w:r>
              <w:rPr>
                <w:sz w:val="16"/>
              </w:rPr>
              <w:t>Pretrained 1.00×</w:t>
            </w:r>
          </w:p>
        </w:tc>
        <w:tc>
          <w:tcPr>
            <w:tcW w:type="dxa" w:w="737"/>
          </w:tcPr>
          <w:p>
            <w:pPr>
              <w:spacing w:after="0"/>
            </w:pPr>
            <w:r>
              <w:rPr>
                <w:sz w:val="16"/>
              </w:rPr>
            </w:r>
            <w:r>
              <w:rPr>
                <w:sz w:val="16"/>
              </w:rPr>
              <w:t>2.59 M</w:t>
            </w:r>
          </w:p>
        </w:tc>
        <w:tc>
          <w:tcPr>
            <w:tcW w:type="dxa" w:w="1247"/>
          </w:tcPr>
          <w:p>
            <w:pPr>
              <w:spacing w:after="0"/>
            </w:pPr>
            <w:r>
              <w:rPr>
                <w:sz w:val="16"/>
              </w:rPr>
            </w:r>
            <w:r>
              <w:rPr>
                <w:b/>
                <w:sz w:val="16"/>
              </w:rPr>
              <w:t>17.27 ± 0.39</w:t>
            </w:r>
          </w:p>
        </w:tc>
        <w:tc>
          <w:tcPr>
            <w:tcW w:type="dxa" w:w="680"/>
          </w:tcPr>
          <w:p>
            <w:pPr>
              <w:spacing w:after="0"/>
            </w:pPr>
            <w:r>
              <w:rPr>
                <w:sz w:val="16"/>
              </w:rPr>
            </w:r>
            <w:r>
              <w:rPr>
                <w:sz w:val="16"/>
              </w:rPr>
              <w:t>34.66</w:t>
            </w:r>
          </w:p>
        </w:tc>
        <w:tc>
          <w:tcPr>
            <w:tcW w:type="dxa" w:w="680"/>
          </w:tcPr>
          <w:p>
            <w:pPr>
              <w:spacing w:after="0"/>
            </w:pPr>
            <w:r>
              <w:rPr>
                <w:sz w:val="16"/>
              </w:rPr>
            </w:r>
            <w:r>
              <w:rPr>
                <w:sz w:val="16"/>
              </w:rPr>
              <w:t>15.04</w:t>
            </w:r>
          </w:p>
        </w:tc>
        <w:tc>
          <w:tcPr>
            <w:tcW w:type="dxa" w:w="737"/>
          </w:tcPr>
          <w:p>
            <w:pPr>
              <w:spacing w:after="0"/>
            </w:pPr>
            <w:r>
              <w:rPr>
                <w:sz w:val="16"/>
              </w:rPr>
            </w:r>
            <w:r>
              <w:rPr>
                <w:sz w:val="16"/>
              </w:rPr>
              <w:t>30.11</w:t>
            </w:r>
          </w:p>
        </w:tc>
        <w:tc>
          <w:tcPr>
            <w:tcW w:type="dxa" w:w="907"/>
          </w:tcPr>
          <w:p>
            <w:pPr>
              <w:spacing w:after="0"/>
            </w:pPr>
            <w:r>
              <w:rPr>
                <w:sz w:val="16"/>
              </w:rPr>
            </w:r>
            <w:r>
              <w:rPr>
                <w:sz w:val="16"/>
              </w:rPr>
              <w:t>46.42</w:t>
            </w:r>
          </w:p>
        </w:tc>
        <w:tc>
          <w:tcPr>
            <w:tcW w:type="dxa" w:w="907"/>
          </w:tcPr>
          <w:p>
            <w:pPr>
              <w:spacing w:after="0"/>
            </w:pPr>
            <w:r>
              <w:rPr>
                <w:sz w:val="16"/>
              </w:rPr>
            </w:r>
            <w:r>
              <w:rPr>
                <w:sz w:val="16"/>
              </w:rPr>
              <w:t>25.09</w:t>
            </w:r>
          </w:p>
        </w:tc>
        <w:tc>
          <w:tcPr>
            <w:tcW w:type="dxa" w:w="850"/>
          </w:tcPr>
          <w:p>
            <w:pPr>
              <w:spacing w:after="0"/>
            </w:pPr>
            <w:r>
              <w:rPr>
                <w:sz w:val="16"/>
              </w:rPr>
            </w:r>
            <w:r>
              <w:rPr>
                <w:sz w:val="16"/>
              </w:rPr>
              <w:t>96.5</w:t>
            </w:r>
          </w:p>
        </w:tc>
        <w:tc>
          <w:tcPr>
            <w:tcW w:type="dxa" w:w="794"/>
          </w:tcPr>
          <w:p>
            <w:pPr>
              <w:spacing w:after="0"/>
            </w:pPr>
            <w:r>
              <w:rPr>
                <w:sz w:val="16"/>
              </w:rPr>
            </w:r>
            <w:r>
              <w:rPr>
                <w:sz w:val="16"/>
              </w:rPr>
              <w:t>3.43</w:t>
            </w:r>
          </w:p>
        </w:tc>
      </w:tr>
    </w:tbl>
    <w:p>
      <w:pPr>
        <w:spacing w:after="160"/>
      </w:pPr>
      <w:r>
        <w:rPr>
          <w:sz w:val="17"/>
        </w:rPr>
        <w:t>Paired Δ (distilled − reference), seed CI / family-bootstrap CI: vs ordinary 0.75× +1.14 [−0.42, 2.70] / [−0.21, 2.45]; vs scratch 1.00× −0.11 [−1.75, 1.53] / [−1.53, 1.17]; vs pretrained 1.00× −1.19 [−2.64, 0.26] / [−2.35, −0.08]. Localization recall @0.50 vs ordinary 0.75×: +1.73 [+0.29, +3.17].</w:t>
      </w:r>
    </w:p>
    <w:p>
      <w:pPr>
        <w:spacing w:after="40"/>
        <w:jc w:val="both"/>
      </w:pPr>
      <w:r>
        <w:t>The test reproduced the development ranking: pretrained 1.00× &gt; distilled 0.75× ≈ scratch 1.00× &gt; ordinary 0.75×.</w:t>
      </w:r>
    </w:p>
    <w:p>
      <w:pPr>
        <w:pStyle w:val="ListBullet"/>
        <w:spacing w:after="40"/>
      </w:pPr>
      <w:r>
        <w:t>The distillation gain (+1.14 AP) had the same size as on arm B, but its test-only interval includes zero.</w:t>
      </w:r>
    </w:p>
    <w:p>
      <w:pPr>
        <w:pStyle w:val="ListBullet"/>
        <w:spacing w:after="40"/>
      </w:pPr>
      <w:r>
        <w:t>The localization-recall gain (+1.73) replicated with an interval excluding zero.</w:t>
      </w:r>
    </w:p>
    <w:p>
      <w:pPr>
        <w:pStyle w:val="ListBullet"/>
        <w:spacing w:after="40"/>
      </w:pPr>
      <w:r>
        <w:t>The distilled 1.57 M model reached a similar observed mean AP to the 2.59 M scratch model, while the pretrained full-width model remained strongest. Under a pre-registered addendum, no model change followed from these results.</w:t>
      </w:r>
    </w:p>
    <w:p>
      <w:pPr>
        <w:pStyle w:val="Heading1"/>
      </w:pPr>
      <w:r>
        <w:t>5. Discussion</w:t>
      </w:r>
    </w:p>
    <w:p>
      <w:pPr>
        <w:jc w:val="both"/>
      </w:pPr>
      <w:r>
        <w:rPr>
          <w:b/>
        </w:rPr>
        <w:t>From metric inflation to decision distortion.</w:t>
      </w:r>
      <w:r>
        <w:t xml:space="preserve"> Leakage is usually framed as an accounting error that inflates headline numbers. Our results show a more consequential effect: exposure changes the </w:t>
      </w:r>
      <w:r>
        <w:rPr>
          <w:i/>
        </w:rPr>
        <w:t>differences</w:t>
      </w:r>
      <w:r>
        <w:t xml:space="preserve"> between models. A practitioner tuning capacity on a file-level split would conclude that even modest narrowing is costly, and would keep a model 1.65× larger than an independent evaluation supports. The same bias makes pretraining look four times as valuable and turns a null architectural change into an apparent gain. These are precisely the comparisons that architecture papers report, so exposure-aware evaluation should be a precondition for claims about plant-disease detector design.</w:t>
      </w:r>
    </w:p>
    <w:p>
      <w:pPr>
        <w:jc w:val="both"/>
      </w:pPr>
      <w:r>
        <w:rPr>
          <w:b/>
        </w:rPr>
        <w:t>What the detectors actually fail at.</w:t>
      </w:r>
      <w:r>
        <w:t xml:space="preserve"> Under independent evaluation the detectors rarely confuse diseases. Given a found lesion, the class is right about 97% of the time in every condition. They fail by not finding lesions, and especially small ones. This shifts priorities away from classification-oriented additions (for example, attention for discriminating disease classes) toward high-resolution localization. It also explains why distilling box distributions helped while channel reallocation helped little: the student needed better localization targets, not merely more P3/P4 channels.</w:t>
      </w:r>
    </w:p>
    <w:p>
      <w:pPr>
        <w:jc w:val="both"/>
      </w:pPr>
      <w:r>
        <w:rPr>
          <w:b/>
        </w:rPr>
        <w:t>Why the exposure gradient matters.</w:t>
      </w:r>
      <w:r>
        <w:t xml:space="preserve"> The leakage advantage was largest for copies most similar in pixels to a training image and smallest for crops or rescales. This supports interpreting the exposure effect as memorisation of specific photographs rather than an artefact of the split procedure, and suggests that label-preserving offline augmentation is the most harmful kind to split at the file level.</w:t>
      </w:r>
    </w:p>
    <w:p>
      <w:pPr>
        <w:spacing w:after="40"/>
      </w:pPr>
      <w:r>
        <w:rPr>
          <w:b/>
        </w:rPr>
        <w:t>Practical recommendations.</w:t>
      </w:r>
    </w:p>
    <w:p>
      <w:pPr>
        <w:pStyle w:val="ListBullet"/>
        <w:spacing w:after="40"/>
      </w:pPr>
      <w:r>
        <w:t>Release benchmarks with source identifiers.</w:t>
      </w:r>
    </w:p>
    <w:p>
      <w:pPr>
        <w:pStyle w:val="ListBullet"/>
        <w:spacing w:after="40"/>
      </w:pPr>
      <w:r>
        <w:t>Split by source family.</w:t>
      </w:r>
    </w:p>
    <w:p>
      <w:pPr>
        <w:pStyle w:val="ListBullet"/>
        <w:spacing w:after="40"/>
      </w:pPr>
      <w:r>
        <w:t>Report both exposed and independent results whenever a public split is compared with prior work.</w:t>
      </w:r>
    </w:p>
    <w:p>
      <w:pPr>
        <w:pStyle w:val="ListBullet"/>
        <w:spacing w:after="40"/>
      </w:pPr>
      <w:r>
        <w:t>Base design decisions only on independent results.</w:t>
      </w:r>
    </w:p>
    <w:p>
      <w:pPr>
        <w:pStyle w:val="Heading1"/>
      </w:pPr>
      <w:r>
        <w:t>6. Limitations</w:t>
      </w:r>
    </w:p>
    <w:p>
      <w:pPr>
        <w:pStyle w:val="ListBullet"/>
        <w:spacing w:after="40"/>
      </w:pPr>
      <w:r>
        <w:t>One dataset with a 268-photograph test set (261 clusters); effects under about 1 AP have wide intervals, and test-only distillation evidence is directional.</w:t>
      </w:r>
    </w:p>
    <w:p>
      <w:pPr>
        <w:pStyle w:val="ListBullet"/>
        <w:spacing w:after="40"/>
      </w:pPr>
      <w:r>
        <w:t>Severe class imbalance; two classes have no boxes and three have fewer than 100 development boxes.</w:t>
      </w:r>
    </w:p>
    <w:p>
      <w:pPr>
        <w:pStyle w:val="ListBullet"/>
        <w:spacing w:after="40"/>
      </w:pPr>
      <w:r>
        <w:t>A fixed 24,570-update budget; smaller and from-scratch models had not plateaued.</w:t>
      </w:r>
    </w:p>
    <w:p>
      <w:pPr>
        <w:pStyle w:val="ListBullet"/>
        <w:spacing w:after="40"/>
      </w:pPr>
      <w:r>
        <w:t>Desktop GPU/CPU timing only; no edge-device measurements and no speed claim (GPU latency was flat across widths).</w:t>
      </w:r>
    </w:p>
    <w:p>
      <w:pPr>
        <w:pStyle w:val="ListBullet"/>
        <w:spacing w:after="40"/>
      </w:pPr>
      <w:r>
        <w:t>The test split was scored for earlier models outside this study (Section 3.6).</w:t>
      </w:r>
    </w:p>
    <w:p>
      <w:pPr>
        <w:pStyle w:val="ListBullet"/>
        <w:spacing w:after="40"/>
      </w:pPr>
      <w:r>
        <w:t>Size thresholds, per-class effects, copy-type analyses and the pretraining contrast are exploratory.</w:t>
      </w:r>
    </w:p>
    <w:p>
      <w:pPr>
        <w:pStyle w:val="ListBullet"/>
        <w:spacing w:after="40"/>
      </w:pPr>
      <w:r>
        <w:t>The distillation attention weight was set by a pre-specified scale-matching rule rather than tuned, and only one distillation configuration was tested.</w:t>
      </w:r>
    </w:p>
    <w:p>
      <w:pPr>
        <w:pStyle w:val="Heading1"/>
      </w:pPr>
      <w:r>
        <w:t>7. Conclusion</w:t>
      </w:r>
    </w:p>
    <w:p>
      <w:pPr>
        <w:jc w:val="both"/>
      </w:pPr>
      <w:r>
        <w:t>Source-family exposure distorts the estimated effects of compression, pretraining, architecture changes and distillation, and can reverse the resulting deployment decision. Under source-independent evaluation, the dominant failure of compact tomato-disease detectors is missed lesions rather than misclassification. Localization-focused distillation partly repairs that failure, giving a 1.57 M-parameter model that matches a 2.59 M-parameter scratch model on a locked test set. Small-lesion localization remains the main open problem.</w:t>
      </w:r>
    </w:p>
    <w:p>
      <w:pPr>
        <w:pStyle w:val="Heading2"/>
      </w:pPr>
      <w:r>
        <w:t>Data and code availability</w:t>
      </w:r>
    </w:p>
    <w:p>
      <w:pPr>
        <w:jc w:val="both"/>
      </w:pPr>
      <w:r>
        <w:t>The split manifest, pre-registrations with script hashes, analysis scripts, per-checkpoint results and trained weights will be released at [repository URL]. Tomato-Village is available from its authors [1].</w:t>
      </w:r>
    </w:p>
    <w:p>
      <w:pPr>
        <w:pStyle w:val="Heading2"/>
      </w:pPr>
      <w:r>
        <w:t>Author contributions, funding and competing interests</w:t>
      </w:r>
    </w:p>
    <w:p>
      <w:r>
        <w:t>[To be completed by the authors.]</w:t>
      </w:r>
    </w:p>
    <w:p>
      <w:pPr>
        <w:pStyle w:val="Heading1"/>
      </w:pPr>
      <w:r>
        <w:t>References</w:t>
      </w:r>
    </w:p>
    <w:p>
      <w:pPr>
        <w:spacing w:after="40"/>
      </w:pPr>
      <w:r>
        <w:rPr>
          <w:sz w:val="19"/>
        </w:rPr>
        <w:t>[1] Gehlot M, Saxena RK, Gandhi GC. "Tomato-Village": a dataset for end-to-end tomato disease detection in a real-world environment. Multimedia Systems. 2023. doi:10.1007/s00530-023-01158-y.</w:t>
      </w:r>
    </w:p>
    <w:p>
      <w:pPr>
        <w:spacing w:after="40"/>
      </w:pPr>
      <w:r>
        <w:rPr>
          <w:sz w:val="19"/>
        </w:rPr>
        <w:t>[2] Jocher G, Qiu J. Ultralytics YOLO11. 2024. https://github.com/ultralytics/ultralytics.</w:t>
      </w:r>
    </w:p>
    <w:p>
      <w:pPr>
        <w:spacing w:after="40"/>
      </w:pPr>
      <w:r>
        <w:rPr>
          <w:sz w:val="19"/>
        </w:rPr>
        <w:t>[3] Lin T-Y, Maire M, Belongie S, et al. Microsoft COCO: Common Objects in Context. ECCV. 2014.</w:t>
      </w:r>
    </w:p>
    <w:p>
      <w:pPr>
        <w:spacing w:after="40"/>
      </w:pPr>
      <w:r>
        <w:rPr>
          <w:sz w:val="19"/>
        </w:rPr>
        <w:t>[4] Bolya D, Foley S, Hays J, Hoffman J. TIDE: A General Toolbox for Identifying Object Detection Errors. ECCV. 2020.</w:t>
      </w:r>
    </w:p>
    <w:p>
      <w:pPr>
        <w:spacing w:after="40"/>
      </w:pPr>
      <w:r>
        <w:rPr>
          <w:sz w:val="19"/>
        </w:rPr>
        <w:t>[5] Hinton G, Vinyals O, Dean J. Distilling the Knowledge in a Neural Network. arXiv:1503.02531. 2015.</w:t>
      </w:r>
    </w:p>
    <w:p>
      <w:pPr>
        <w:spacing w:after="40"/>
      </w:pPr>
      <w:r>
        <w:rPr>
          <w:sz w:val="19"/>
        </w:rPr>
        <w:t>[6] Zheng Z, Ye R, Wang P, et al. Localization Distillation for Dense Object Detection. CVPR. 2022.</w:t>
      </w:r>
    </w:p>
    <w:p>
      <w:pPr>
        <w:spacing w:after="40"/>
      </w:pPr>
      <w:r>
        <w:rPr>
          <w:sz w:val="19"/>
        </w:rPr>
        <w:t>[7] Li X, Wang W, Wu L, et al. Generalized Focal Loss: Learning Qualified and Distributed Bounding Boxes for Dense Object Detection. NeurIPS. 2020.</w:t>
      </w:r>
    </w:p>
    <w:p>
      <w:pPr>
        <w:spacing w:after="40"/>
      </w:pPr>
      <w:r>
        <w:rPr>
          <w:sz w:val="19"/>
        </w:rPr>
        <w:t>[8] Zagoruyko S, Komodakis N. Paying More Attention to Attention: Improving the Performance of Convolutional Neural Networks via Attention Transfer. ICLR. 2017.</w:t>
      </w:r>
    </w:p>
    <w:p>
      <w:pPr>
        <w:spacing w:after="40"/>
      </w:pPr>
      <w:r>
        <w:rPr>
          <w:sz w:val="19"/>
        </w:rPr>
        <w:t>[9] Schuirmann DJ. A comparison of the two one-sided tests procedure and the power approach for assessing the equivalence of average bioavailability. J Pharmacokinet Biopharm. 1987;15:657–680.</w:t>
      </w:r>
    </w:p>
    <w:p>
      <w:pPr>
        <w:spacing w:after="40"/>
      </w:pPr>
      <w:r>
        <w:rPr>
          <w:sz w:val="19"/>
        </w:rPr>
        <w:t>[10] Holm S. A simple sequentially rejective multiple test procedure. Scand J Stat. 1979;6:65–70.</w:t>
      </w:r>
    </w:p>
    <w:p>
      <w:pPr>
        <w:spacing w:after="40"/>
      </w:pPr>
      <w:r>
        <w:rPr>
          <w:sz w:val="19"/>
        </w:rPr>
        <w:t>[11] Feng C, Zhong Y, Gao Y, Scott MR, Huang W. TOOD: Task-aligned One-stage Object Detection. ICCV. 2021.</w:t>
      </w:r>
    </w:p>
    <w:p>
      <w:pPr>
        <w:spacing w:after="40"/>
      </w:pPr>
      <w:r>
        <w:rPr>
          <w:sz w:val="19"/>
        </w:rPr>
        <w:t>[12] Kapoor S, Narayanan A. Leakage and the reproducibility crisis in machine-learning-based science. Patterns. 2023;4(9):100804.</w:t>
      </w:r>
    </w:p>
    <w:p>
      <w:pPr>
        <w:spacing w:after="40"/>
      </w:pPr>
      <w:r>
        <w:rPr>
          <w:sz w:val="19"/>
        </w:rPr>
        <w:t>[13] Kaufman S, Rosset S, Perlich C, Stitelman O. Leakage in data mining: formulation, detection, and avoidance. ACM Trans Knowl Discov Data. 2012;6(4):15.</w:t>
      </w:r>
    </w:p>
    <w:p>
      <w:pPr>
        <w:spacing w:after="40"/>
      </w:pPr>
      <w:r>
        <w:rPr>
          <w:sz w:val="19"/>
        </w:rPr>
        <w:t>[14] Hughes DP, Salathé M. An open access repository of images on plant health to enable the development of mobile disease diagnostics. arXiv:1511.08060. 2015.</w:t>
      </w:r>
    </w:p>
    <w:p>
      <w:pPr>
        <w:spacing w:after="40"/>
      </w:pPr>
      <w:r>
        <w:rPr>
          <w:sz w:val="19"/>
        </w:rPr>
        <w:t>[15] Efron B, Tibshirani RJ. An Introduction to the Bootstrap. Chapman &amp; Hall; 1993.</w:t>
      </w:r>
    </w:p>
    <w:p>
      <w:pPr>
        <w:spacing w:after="40"/>
      </w:pPr>
      <w:r>
        <w:rPr>
          <w:sz w:val="19"/>
        </w:rPr>
        <w:t>[16] Mohanty SP, Hughes DP, Salathé M. Using deep learning for image-based plant disease detection. Front Plant Sci. 2016;7:1419.</w:t>
      </w:r>
    </w:p>
    <w:p>
      <w:r>
        <w:rPr>
          <w:i/>
          <w:sz w:val="18"/>
        </w:rPr>
        <w:t>[ADD REFS] markers indicate where recent lightweight agricultural detectors and PlantVillage bias studies should be cited; verify every reference before submission.</w:t>
      </w:r>
    </w:p>
    <w:p>
      <w:r>
        <w:br w:type="page"/>
      </w:r>
    </w:p>
    <w:p>
      <w:pPr>
        <w:pStyle w:val="Heading1"/>
      </w:pPr>
      <w:r>
        <w:t>Supplementary material</w:t>
      </w:r>
    </w:p>
    <w:p>
      <w:pPr>
        <w:keepNext/>
        <w:spacing w:after="60"/>
      </w:pPr>
      <w:r>
        <w:rPr>
          <w:b/>
          <w:sz w:val="19"/>
        </w:rPr>
        <w:t>Table 11.</w:t>
      </w:r>
      <w:r>
        <w:rPr>
          <w:sz w:val="19"/>
        </w:rPr>
        <w:t xml:space="preserve"> S1. Per-class results on arm B (exploratory; mean over 5 seeds). ⚑ = fewer than 100 ground-truth boxes.</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2154"/>
            <w:shd w:val="clear" w:color="auto" w:fill="E7ECF2"/>
          </w:tcPr>
          <w:p>
            <w:pPr>
              <w:spacing w:after="0"/>
            </w:pPr>
            <w:r>
              <w:rPr>
                <w:sz w:val="17"/>
              </w:rPr>
            </w:r>
            <w:r>
              <w:rPr>
                <w:b/>
                <w:sz w:val="17"/>
              </w:rPr>
              <w:t>Class</w:t>
            </w:r>
          </w:p>
        </w:tc>
        <w:tc>
          <w:tcPr>
            <w:tcW w:type="dxa" w:w="1020"/>
            <w:shd w:val="clear" w:color="auto" w:fill="E7ECF2"/>
          </w:tcPr>
          <w:p>
            <w:pPr>
              <w:spacing w:after="0"/>
            </w:pPr>
            <w:r>
              <w:rPr>
                <w:sz w:val="17"/>
              </w:rPr>
            </w:r>
            <w:r>
              <w:rPr>
                <w:b/>
                <w:sz w:val="17"/>
              </w:rPr>
              <w:t>GT boxes</w:t>
            </w:r>
          </w:p>
        </w:tc>
        <w:tc>
          <w:tcPr>
            <w:tcW w:type="dxa" w:w="964"/>
            <w:shd w:val="clear" w:color="auto" w:fill="E7ECF2"/>
          </w:tcPr>
          <w:p>
            <w:pPr>
              <w:spacing w:after="0"/>
            </w:pPr>
            <w:r>
              <w:rPr>
                <w:sz w:val="17"/>
              </w:rPr>
            </w:r>
            <w:r>
              <w:rPr>
                <w:b/>
                <w:sz w:val="17"/>
              </w:rPr>
              <w:t>AP 1.00×</w:t>
            </w:r>
          </w:p>
        </w:tc>
        <w:tc>
          <w:tcPr>
            <w:tcW w:type="dxa" w:w="964"/>
            <w:shd w:val="clear" w:color="auto" w:fill="E7ECF2"/>
          </w:tcPr>
          <w:p>
            <w:pPr>
              <w:spacing w:after="0"/>
            </w:pPr>
            <w:r>
              <w:rPr>
                <w:sz w:val="17"/>
              </w:rPr>
            </w:r>
            <w:r>
              <w:rPr>
                <w:b/>
                <w:sz w:val="17"/>
              </w:rPr>
              <w:t>AP 0.75×</w:t>
            </w:r>
          </w:p>
        </w:tc>
        <w:tc>
          <w:tcPr>
            <w:tcW w:type="dxa" w:w="1361"/>
            <w:shd w:val="clear" w:color="auto" w:fill="E7ECF2"/>
          </w:tcPr>
          <w:p>
            <w:pPr>
              <w:spacing w:after="0"/>
            </w:pPr>
            <w:r>
              <w:rPr>
                <w:sz w:val="17"/>
              </w:rPr>
            </w:r>
            <w:r>
              <w:rPr>
                <w:b/>
                <w:sz w:val="17"/>
              </w:rPr>
              <w:t>AP 0.75× distilled</w:t>
            </w:r>
          </w:p>
        </w:tc>
        <w:tc>
          <w:tcPr>
            <w:tcW w:type="dxa" w:w="1304"/>
            <w:shd w:val="clear" w:color="auto" w:fill="E7ECF2"/>
          </w:tcPr>
          <w:p>
            <w:pPr>
              <w:spacing w:after="0"/>
            </w:pPr>
            <w:r>
              <w:rPr>
                <w:sz w:val="17"/>
              </w:rPr>
            </w:r>
            <w:r>
              <w:rPr>
                <w:b/>
                <w:sz w:val="17"/>
              </w:rPr>
              <w:t>Δ recall, width 0.75×</w:t>
            </w:r>
          </w:p>
        </w:tc>
        <w:tc>
          <w:tcPr>
            <w:tcW w:type="dxa" w:w="1304"/>
            <w:shd w:val="clear" w:color="auto" w:fill="E7ECF2"/>
          </w:tcPr>
          <w:p>
            <w:pPr>
              <w:spacing w:after="0"/>
            </w:pPr>
            <w:r>
              <w:rPr>
                <w:sz w:val="17"/>
              </w:rPr>
            </w:r>
            <w:r>
              <w:rPr>
                <w:b/>
                <w:sz w:val="17"/>
              </w:rPr>
              <w:t>Δ recall, distillation</w:t>
            </w:r>
          </w:p>
        </w:tc>
      </w:tr>
      <w:tr>
        <w:tc>
          <w:tcPr>
            <w:tcW w:type="dxa" w:w="2154"/>
          </w:tcPr>
          <w:p>
            <w:pPr>
              <w:spacing w:after="0"/>
            </w:pPr>
            <w:r>
              <w:rPr>
                <w:sz w:val="17"/>
              </w:rPr>
            </w:r>
            <w:r>
              <w:rPr>
                <w:sz w:val="17"/>
              </w:rPr>
              <w:t>Leaf Miner</w:t>
            </w:r>
          </w:p>
        </w:tc>
        <w:tc>
          <w:tcPr>
            <w:tcW w:type="dxa" w:w="1020"/>
          </w:tcPr>
          <w:p>
            <w:pPr>
              <w:spacing w:after="0"/>
            </w:pPr>
            <w:r>
              <w:rPr>
                <w:sz w:val="17"/>
              </w:rPr>
            </w:r>
            <w:r>
              <w:rPr>
                <w:sz w:val="17"/>
              </w:rPr>
              <w:t>3,138</w:t>
            </w:r>
          </w:p>
        </w:tc>
        <w:tc>
          <w:tcPr>
            <w:tcW w:type="dxa" w:w="964"/>
          </w:tcPr>
          <w:p>
            <w:pPr>
              <w:spacing w:after="0"/>
            </w:pPr>
            <w:r>
              <w:rPr>
                <w:sz w:val="17"/>
              </w:rPr>
            </w:r>
            <w:r>
              <w:rPr>
                <w:sz w:val="17"/>
              </w:rPr>
              <w:t>18.0</w:t>
            </w:r>
          </w:p>
        </w:tc>
        <w:tc>
          <w:tcPr>
            <w:tcW w:type="dxa" w:w="964"/>
          </w:tcPr>
          <w:p>
            <w:pPr>
              <w:spacing w:after="0"/>
            </w:pPr>
            <w:r>
              <w:rPr>
                <w:sz w:val="17"/>
              </w:rPr>
            </w:r>
            <w:r>
              <w:rPr>
                <w:sz w:val="17"/>
              </w:rPr>
              <w:t>17.1</w:t>
            </w:r>
          </w:p>
        </w:tc>
        <w:tc>
          <w:tcPr>
            <w:tcW w:type="dxa" w:w="1361"/>
          </w:tcPr>
          <w:p>
            <w:pPr>
              <w:spacing w:after="0"/>
            </w:pPr>
            <w:r>
              <w:rPr>
                <w:sz w:val="17"/>
              </w:rPr>
            </w:r>
            <w:r>
              <w:rPr>
                <w:sz w:val="17"/>
              </w:rPr>
              <w:t>17.9</w:t>
            </w:r>
          </w:p>
        </w:tc>
        <w:tc>
          <w:tcPr>
            <w:tcW w:type="dxa" w:w="1304"/>
          </w:tcPr>
          <w:p>
            <w:pPr>
              <w:spacing w:after="0"/>
            </w:pPr>
            <w:r>
              <w:rPr>
                <w:sz w:val="17"/>
              </w:rPr>
            </w:r>
            <w:r>
              <w:rPr>
                <w:sz w:val="17"/>
              </w:rPr>
              <w:t>−2.8</w:t>
            </w:r>
          </w:p>
        </w:tc>
        <w:tc>
          <w:tcPr>
            <w:tcW w:type="dxa" w:w="1304"/>
          </w:tcPr>
          <w:p>
            <w:pPr>
              <w:spacing w:after="0"/>
            </w:pPr>
            <w:r>
              <w:rPr>
                <w:sz w:val="17"/>
              </w:rPr>
            </w:r>
            <w:r>
              <w:rPr>
                <w:sz w:val="17"/>
              </w:rPr>
              <w:t>+1.9</w:t>
            </w:r>
          </w:p>
        </w:tc>
      </w:tr>
      <w:tr>
        <w:tc>
          <w:tcPr>
            <w:tcW w:type="dxa" w:w="2154"/>
          </w:tcPr>
          <w:p>
            <w:pPr>
              <w:spacing w:after="0"/>
            </w:pPr>
            <w:r>
              <w:rPr>
                <w:sz w:val="17"/>
              </w:rPr>
            </w:r>
            <w:r>
              <w:rPr>
                <w:sz w:val="17"/>
              </w:rPr>
              <w:t>Spotted Wilt Virus</w:t>
            </w:r>
          </w:p>
        </w:tc>
        <w:tc>
          <w:tcPr>
            <w:tcW w:type="dxa" w:w="1020"/>
          </w:tcPr>
          <w:p>
            <w:pPr>
              <w:spacing w:after="0"/>
            </w:pPr>
            <w:r>
              <w:rPr>
                <w:sz w:val="17"/>
              </w:rPr>
            </w:r>
            <w:r>
              <w:rPr>
                <w:sz w:val="17"/>
              </w:rPr>
              <w:t>899</w:t>
            </w:r>
          </w:p>
        </w:tc>
        <w:tc>
          <w:tcPr>
            <w:tcW w:type="dxa" w:w="964"/>
          </w:tcPr>
          <w:p>
            <w:pPr>
              <w:spacing w:after="0"/>
            </w:pPr>
            <w:r>
              <w:rPr>
                <w:sz w:val="17"/>
              </w:rPr>
            </w:r>
            <w:r>
              <w:rPr>
                <w:sz w:val="17"/>
              </w:rPr>
              <w:t>19.5</w:t>
            </w:r>
          </w:p>
        </w:tc>
        <w:tc>
          <w:tcPr>
            <w:tcW w:type="dxa" w:w="964"/>
          </w:tcPr>
          <w:p>
            <w:pPr>
              <w:spacing w:after="0"/>
            </w:pPr>
            <w:r>
              <w:rPr>
                <w:sz w:val="17"/>
              </w:rPr>
            </w:r>
            <w:r>
              <w:rPr>
                <w:sz w:val="17"/>
              </w:rPr>
              <w:t>19.4</w:t>
            </w:r>
          </w:p>
        </w:tc>
        <w:tc>
          <w:tcPr>
            <w:tcW w:type="dxa" w:w="1361"/>
          </w:tcPr>
          <w:p>
            <w:pPr>
              <w:spacing w:after="0"/>
            </w:pPr>
            <w:r>
              <w:rPr>
                <w:sz w:val="17"/>
              </w:rPr>
            </w:r>
            <w:r>
              <w:rPr>
                <w:sz w:val="17"/>
              </w:rPr>
              <w:t>20.2</w:t>
            </w:r>
          </w:p>
        </w:tc>
        <w:tc>
          <w:tcPr>
            <w:tcW w:type="dxa" w:w="1304"/>
          </w:tcPr>
          <w:p>
            <w:pPr>
              <w:spacing w:after="0"/>
            </w:pPr>
            <w:r>
              <w:rPr>
                <w:sz w:val="17"/>
              </w:rPr>
            </w:r>
            <w:r>
              <w:rPr>
                <w:sz w:val="17"/>
              </w:rPr>
              <w:t>−0.1</w:t>
            </w:r>
          </w:p>
        </w:tc>
        <w:tc>
          <w:tcPr>
            <w:tcW w:type="dxa" w:w="1304"/>
          </w:tcPr>
          <w:p>
            <w:pPr>
              <w:spacing w:after="0"/>
            </w:pPr>
            <w:r>
              <w:rPr>
                <w:sz w:val="17"/>
              </w:rPr>
            </w:r>
            <w:r>
              <w:rPr>
                <w:sz w:val="17"/>
              </w:rPr>
              <w:t>+0.0</w:t>
            </w:r>
          </w:p>
        </w:tc>
      </w:tr>
      <w:tr>
        <w:tc>
          <w:tcPr>
            <w:tcW w:type="dxa" w:w="2154"/>
          </w:tcPr>
          <w:p>
            <w:pPr>
              <w:spacing w:after="0"/>
            </w:pPr>
            <w:r>
              <w:rPr>
                <w:sz w:val="17"/>
              </w:rPr>
            </w:r>
            <w:r>
              <w:rPr>
                <w:sz w:val="17"/>
              </w:rPr>
              <w:t>Magnesium Deficiency</w:t>
            </w:r>
          </w:p>
        </w:tc>
        <w:tc>
          <w:tcPr>
            <w:tcW w:type="dxa" w:w="1020"/>
          </w:tcPr>
          <w:p>
            <w:pPr>
              <w:spacing w:after="0"/>
            </w:pPr>
            <w:r>
              <w:rPr>
                <w:sz w:val="17"/>
              </w:rPr>
            </w:r>
            <w:r>
              <w:rPr>
                <w:sz w:val="17"/>
              </w:rPr>
              <w:t>497</w:t>
            </w:r>
          </w:p>
        </w:tc>
        <w:tc>
          <w:tcPr>
            <w:tcW w:type="dxa" w:w="964"/>
          </w:tcPr>
          <w:p>
            <w:pPr>
              <w:spacing w:after="0"/>
            </w:pPr>
            <w:r>
              <w:rPr>
                <w:sz w:val="17"/>
              </w:rPr>
            </w:r>
            <w:r>
              <w:rPr>
                <w:sz w:val="17"/>
              </w:rPr>
              <w:t>22.1</w:t>
            </w:r>
          </w:p>
        </w:tc>
        <w:tc>
          <w:tcPr>
            <w:tcW w:type="dxa" w:w="964"/>
          </w:tcPr>
          <w:p>
            <w:pPr>
              <w:spacing w:after="0"/>
            </w:pPr>
            <w:r>
              <w:rPr>
                <w:sz w:val="17"/>
              </w:rPr>
            </w:r>
            <w:r>
              <w:rPr>
                <w:sz w:val="17"/>
              </w:rPr>
              <w:t>20.9</w:t>
            </w:r>
          </w:p>
        </w:tc>
        <w:tc>
          <w:tcPr>
            <w:tcW w:type="dxa" w:w="1361"/>
          </w:tcPr>
          <w:p>
            <w:pPr>
              <w:spacing w:after="0"/>
            </w:pPr>
            <w:r>
              <w:rPr>
                <w:sz w:val="17"/>
              </w:rPr>
            </w:r>
            <w:r>
              <w:rPr>
                <w:sz w:val="17"/>
              </w:rPr>
              <w:t>23.1</w:t>
            </w:r>
          </w:p>
        </w:tc>
        <w:tc>
          <w:tcPr>
            <w:tcW w:type="dxa" w:w="1304"/>
          </w:tcPr>
          <w:p>
            <w:pPr>
              <w:spacing w:after="0"/>
            </w:pPr>
            <w:r>
              <w:rPr>
                <w:sz w:val="17"/>
              </w:rPr>
            </w:r>
            <w:r>
              <w:rPr>
                <w:sz w:val="17"/>
              </w:rPr>
              <w:t>−3.4</w:t>
            </w:r>
          </w:p>
        </w:tc>
        <w:tc>
          <w:tcPr>
            <w:tcW w:type="dxa" w:w="1304"/>
          </w:tcPr>
          <w:p>
            <w:pPr>
              <w:spacing w:after="0"/>
            </w:pPr>
            <w:r>
              <w:rPr>
                <w:sz w:val="17"/>
              </w:rPr>
            </w:r>
            <w:r>
              <w:rPr>
                <w:sz w:val="17"/>
              </w:rPr>
              <w:t>+3.3</w:t>
            </w:r>
          </w:p>
        </w:tc>
      </w:tr>
      <w:tr>
        <w:tc>
          <w:tcPr>
            <w:tcW w:type="dxa" w:w="2154"/>
          </w:tcPr>
          <w:p>
            <w:pPr>
              <w:spacing w:after="0"/>
            </w:pPr>
            <w:r>
              <w:rPr>
                <w:sz w:val="17"/>
              </w:rPr>
            </w:r>
            <w:r>
              <w:rPr>
                <w:sz w:val="17"/>
              </w:rPr>
              <w:t>Late Blight ⚑</w:t>
            </w:r>
          </w:p>
        </w:tc>
        <w:tc>
          <w:tcPr>
            <w:tcW w:type="dxa" w:w="1020"/>
          </w:tcPr>
          <w:p>
            <w:pPr>
              <w:spacing w:after="0"/>
            </w:pPr>
            <w:r>
              <w:rPr>
                <w:sz w:val="17"/>
              </w:rPr>
            </w:r>
            <w:r>
              <w:rPr>
                <w:sz w:val="17"/>
              </w:rPr>
              <w:t>78</w:t>
            </w:r>
          </w:p>
        </w:tc>
        <w:tc>
          <w:tcPr>
            <w:tcW w:type="dxa" w:w="964"/>
          </w:tcPr>
          <w:p>
            <w:pPr>
              <w:spacing w:after="0"/>
            </w:pPr>
            <w:r>
              <w:rPr>
                <w:sz w:val="17"/>
              </w:rPr>
            </w:r>
            <w:r>
              <w:rPr>
                <w:sz w:val="17"/>
              </w:rPr>
              <w:t>16.9</w:t>
            </w:r>
          </w:p>
        </w:tc>
        <w:tc>
          <w:tcPr>
            <w:tcW w:type="dxa" w:w="964"/>
          </w:tcPr>
          <w:p>
            <w:pPr>
              <w:spacing w:after="0"/>
            </w:pPr>
            <w:r>
              <w:rPr>
                <w:sz w:val="17"/>
              </w:rPr>
            </w:r>
            <w:r>
              <w:rPr>
                <w:sz w:val="17"/>
              </w:rPr>
              <w:t>17.2</w:t>
            </w:r>
          </w:p>
        </w:tc>
        <w:tc>
          <w:tcPr>
            <w:tcW w:type="dxa" w:w="1361"/>
          </w:tcPr>
          <w:p>
            <w:pPr>
              <w:spacing w:after="0"/>
            </w:pPr>
            <w:r>
              <w:rPr>
                <w:sz w:val="17"/>
              </w:rPr>
            </w:r>
            <w:r>
              <w:rPr>
                <w:sz w:val="17"/>
              </w:rPr>
              <w:t>21.1</w:t>
            </w:r>
          </w:p>
        </w:tc>
        <w:tc>
          <w:tcPr>
            <w:tcW w:type="dxa" w:w="1304"/>
          </w:tcPr>
          <w:p>
            <w:pPr>
              <w:spacing w:after="0"/>
            </w:pPr>
            <w:r>
              <w:rPr>
                <w:sz w:val="17"/>
              </w:rPr>
            </w:r>
            <w:r>
              <w:rPr>
                <w:sz w:val="17"/>
              </w:rPr>
              <w:t>−0.8</w:t>
            </w:r>
          </w:p>
        </w:tc>
        <w:tc>
          <w:tcPr>
            <w:tcW w:type="dxa" w:w="1304"/>
          </w:tcPr>
          <w:p>
            <w:pPr>
              <w:spacing w:after="0"/>
            </w:pPr>
            <w:r>
              <w:rPr>
                <w:sz w:val="17"/>
              </w:rPr>
            </w:r>
            <w:r>
              <w:rPr>
                <w:sz w:val="17"/>
              </w:rPr>
              <w:t>+3.8</w:t>
            </w:r>
          </w:p>
        </w:tc>
      </w:tr>
      <w:tr>
        <w:tc>
          <w:tcPr>
            <w:tcW w:type="dxa" w:w="2154"/>
          </w:tcPr>
          <w:p>
            <w:pPr>
              <w:spacing w:after="0"/>
            </w:pPr>
            <w:r>
              <w:rPr>
                <w:sz w:val="17"/>
              </w:rPr>
            </w:r>
            <w:r>
              <w:rPr>
                <w:sz w:val="17"/>
              </w:rPr>
              <w:t>Potassium Deficiency ⚑</w:t>
            </w:r>
          </w:p>
        </w:tc>
        <w:tc>
          <w:tcPr>
            <w:tcW w:type="dxa" w:w="1020"/>
          </w:tcPr>
          <w:p>
            <w:pPr>
              <w:spacing w:after="0"/>
            </w:pPr>
            <w:r>
              <w:rPr>
                <w:sz w:val="17"/>
              </w:rPr>
            </w:r>
            <w:r>
              <w:rPr>
                <w:sz w:val="17"/>
              </w:rPr>
              <w:t>39</w:t>
            </w:r>
          </w:p>
        </w:tc>
        <w:tc>
          <w:tcPr>
            <w:tcW w:type="dxa" w:w="964"/>
          </w:tcPr>
          <w:p>
            <w:pPr>
              <w:spacing w:after="0"/>
            </w:pPr>
            <w:r>
              <w:rPr>
                <w:sz w:val="17"/>
              </w:rPr>
            </w:r>
            <w:r>
              <w:rPr>
                <w:sz w:val="17"/>
              </w:rPr>
              <w:t>3.3</w:t>
            </w:r>
          </w:p>
        </w:tc>
        <w:tc>
          <w:tcPr>
            <w:tcW w:type="dxa" w:w="964"/>
          </w:tcPr>
          <w:p>
            <w:pPr>
              <w:spacing w:after="0"/>
            </w:pPr>
            <w:r>
              <w:rPr>
                <w:sz w:val="17"/>
              </w:rPr>
            </w:r>
            <w:r>
              <w:rPr>
                <w:sz w:val="17"/>
              </w:rPr>
              <w:t>3.7</w:t>
            </w:r>
          </w:p>
        </w:tc>
        <w:tc>
          <w:tcPr>
            <w:tcW w:type="dxa" w:w="1361"/>
          </w:tcPr>
          <w:p>
            <w:pPr>
              <w:spacing w:after="0"/>
            </w:pPr>
            <w:r>
              <w:rPr>
                <w:sz w:val="17"/>
              </w:rPr>
            </w:r>
            <w:r>
              <w:rPr>
                <w:sz w:val="17"/>
              </w:rPr>
              <w:t>2.4</w:t>
            </w:r>
          </w:p>
        </w:tc>
        <w:tc>
          <w:tcPr>
            <w:tcW w:type="dxa" w:w="1304"/>
          </w:tcPr>
          <w:p>
            <w:pPr>
              <w:spacing w:after="0"/>
            </w:pPr>
            <w:r>
              <w:rPr>
                <w:sz w:val="17"/>
              </w:rPr>
            </w:r>
            <w:r>
              <w:rPr>
                <w:sz w:val="17"/>
              </w:rPr>
              <w:t>−5.6</w:t>
            </w:r>
          </w:p>
        </w:tc>
        <w:tc>
          <w:tcPr>
            <w:tcW w:type="dxa" w:w="1304"/>
          </w:tcPr>
          <w:p>
            <w:pPr>
              <w:spacing w:after="0"/>
            </w:pPr>
            <w:r>
              <w:rPr>
                <w:sz w:val="17"/>
              </w:rPr>
            </w:r>
            <w:r>
              <w:rPr>
                <w:sz w:val="17"/>
              </w:rPr>
              <w:t>+4.1</w:t>
            </w:r>
          </w:p>
        </w:tc>
      </w:tr>
      <w:tr>
        <w:tc>
          <w:tcPr>
            <w:tcW w:type="dxa" w:w="2154"/>
          </w:tcPr>
          <w:p>
            <w:pPr>
              <w:spacing w:after="0"/>
            </w:pPr>
            <w:r>
              <w:rPr>
                <w:sz w:val="17"/>
              </w:rPr>
            </w:r>
            <w:r>
              <w:rPr>
                <w:sz w:val="17"/>
              </w:rPr>
              <w:t>Nitrogen Deficiency ⚑</w:t>
            </w:r>
          </w:p>
        </w:tc>
        <w:tc>
          <w:tcPr>
            <w:tcW w:type="dxa" w:w="1020"/>
          </w:tcPr>
          <w:p>
            <w:pPr>
              <w:spacing w:after="0"/>
            </w:pPr>
            <w:r>
              <w:rPr>
                <w:sz w:val="17"/>
              </w:rPr>
            </w:r>
            <w:r>
              <w:rPr>
                <w:sz w:val="17"/>
              </w:rPr>
              <w:t>32</w:t>
            </w:r>
          </w:p>
        </w:tc>
        <w:tc>
          <w:tcPr>
            <w:tcW w:type="dxa" w:w="964"/>
          </w:tcPr>
          <w:p>
            <w:pPr>
              <w:spacing w:after="0"/>
            </w:pPr>
            <w:r>
              <w:rPr>
                <w:sz w:val="17"/>
              </w:rPr>
            </w:r>
            <w:r>
              <w:rPr>
                <w:sz w:val="17"/>
              </w:rPr>
              <w:t>2.1</w:t>
            </w:r>
          </w:p>
        </w:tc>
        <w:tc>
          <w:tcPr>
            <w:tcW w:type="dxa" w:w="964"/>
          </w:tcPr>
          <w:p>
            <w:pPr>
              <w:spacing w:after="0"/>
            </w:pPr>
            <w:r>
              <w:rPr>
                <w:sz w:val="17"/>
              </w:rPr>
            </w:r>
            <w:r>
              <w:rPr>
                <w:sz w:val="17"/>
              </w:rPr>
              <w:t>1.6</w:t>
            </w:r>
          </w:p>
        </w:tc>
        <w:tc>
          <w:tcPr>
            <w:tcW w:type="dxa" w:w="1361"/>
          </w:tcPr>
          <w:p>
            <w:pPr>
              <w:spacing w:after="0"/>
            </w:pPr>
            <w:r>
              <w:rPr>
                <w:sz w:val="17"/>
              </w:rPr>
            </w:r>
            <w:r>
              <w:rPr>
                <w:sz w:val="17"/>
              </w:rPr>
              <w:t>1.1</w:t>
            </w:r>
          </w:p>
        </w:tc>
        <w:tc>
          <w:tcPr>
            <w:tcW w:type="dxa" w:w="1304"/>
          </w:tcPr>
          <w:p>
            <w:pPr>
              <w:spacing w:after="0"/>
            </w:pPr>
            <w:r>
              <w:rPr>
                <w:sz w:val="17"/>
              </w:rPr>
            </w:r>
            <w:r>
              <w:rPr>
                <w:sz w:val="17"/>
              </w:rPr>
              <w:t>−3.1</w:t>
            </w:r>
          </w:p>
        </w:tc>
        <w:tc>
          <w:tcPr>
            <w:tcW w:type="dxa" w:w="1304"/>
          </w:tcPr>
          <w:p>
            <w:pPr>
              <w:spacing w:after="0"/>
            </w:pPr>
            <w:r>
              <w:rPr>
                <w:sz w:val="17"/>
              </w:rPr>
            </w:r>
            <w:r>
              <w:rPr>
                <w:sz w:val="17"/>
              </w:rPr>
              <w:t>+5.0</w:t>
            </w:r>
          </w:p>
        </w:tc>
      </w:tr>
    </w:tbl>
    <w:p>
      <w:pPr>
        <w:spacing w:after="40"/>
      </w:pPr>
    </w:p>
    <w:p>
      <w:pPr>
        <w:keepNext/>
        <w:jc w:val="center"/>
      </w:pPr>
      <w:r>
        <w:drawing>
          <wp:inline xmlns:a="http://schemas.openxmlformats.org/drawingml/2006/main" xmlns:pic="http://schemas.openxmlformats.org/drawingml/2006/picture">
            <wp:extent cx="3600000" cy="2880000"/>
            <wp:docPr id="7" name="Picture 7"/>
            <wp:cNvGraphicFramePr>
              <a:graphicFrameLocks noChangeAspect="1"/>
            </wp:cNvGraphicFramePr>
            <a:graphic>
              <a:graphicData uri="http://schemas.openxmlformats.org/drawingml/2006/picture">
                <pic:pic>
                  <pic:nvPicPr>
                    <pic:cNvPr id="0" name="fig_calibration.png"/>
                    <pic:cNvPicPr/>
                  </pic:nvPicPr>
                  <pic:blipFill>
                    <a:blip r:embed="rId15"/>
                    <a:stretch>
                      <a:fillRect/>
                    </a:stretch>
                  </pic:blipFill>
                  <pic:spPr>
                    <a:xfrm>
                      <a:off x="0" y="0"/>
                      <a:ext cx="3600000" cy="2880000"/>
                    </a:xfrm>
                    <a:prstGeom prst="rect"/>
                  </pic:spPr>
                </pic:pic>
              </a:graphicData>
            </a:graphic>
          </wp:inline>
        </w:drawing>
      </w:r>
    </w:p>
    <w:p>
      <w:pPr>
        <w:spacing w:after="200"/>
      </w:pPr>
      <w:r>
        <w:rPr>
          <w:b/>
          <w:sz w:val="19"/>
        </w:rPr>
        <w:t>Figure 7.</w:t>
      </w:r>
      <w:r>
        <w:rPr>
          <w:sz w:val="19"/>
        </w:rPr>
        <w:t xml:space="preserve"> (S1) Reliability diagram on arm B, seed 0, with detection-ECE per model.</w:t>
      </w:r>
    </w:p>
    <w:p>
      <w:pPr>
        <w:keepNext/>
        <w:spacing w:after="60"/>
      </w:pPr>
      <w:r>
        <w:rPr>
          <w:b/>
          <w:sz w:val="19"/>
        </w:rPr>
        <w:t>Table 12.</w:t>
      </w:r>
      <w:r>
        <w:rPr>
          <w:sz w:val="19"/>
        </w:rPr>
        <w:t xml:space="preserve"> S2. Inferred augmentation type of the 12,572 released copies, and exploratory exposure advantage in localization recall at IoU 0.50 (1.00× scratch, 5 seeds).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608"/>
            <w:shd w:val="clear" w:color="auto" w:fill="E7ECF2"/>
          </w:tcPr>
          <w:p>
            <w:pPr>
              <w:spacing w:after="0"/>
            </w:pPr>
            <w:r>
              <w:rPr>
                <w:sz w:val="17"/>
              </w:rPr>
            </w:r>
            <w:r>
              <w:rPr>
                <w:b/>
                <w:sz w:val="17"/>
              </w:rPr>
              <w:t>File type</w:t>
            </w:r>
          </w:p>
        </w:tc>
        <w:tc>
          <w:tcPr>
            <w:tcW w:type="dxa" w:w="1474"/>
            <w:shd w:val="clear" w:color="auto" w:fill="E7ECF2"/>
          </w:tcPr>
          <w:p>
            <w:pPr>
              <w:spacing w:after="0"/>
            </w:pPr>
            <w:r>
              <w:rPr>
                <w:sz w:val="17"/>
              </w:rPr>
            </w:r>
            <w:r>
              <w:rPr>
                <w:b/>
                <w:sz w:val="17"/>
              </w:rPr>
              <w:t>Share of copies</w:t>
            </w:r>
          </w:p>
        </w:tc>
        <w:tc>
          <w:tcPr>
            <w:tcW w:type="dxa" w:w="1361"/>
            <w:shd w:val="clear" w:color="auto" w:fill="E7ECF2"/>
          </w:tcPr>
          <w:p>
            <w:pPr>
              <w:spacing w:after="0"/>
            </w:pPr>
            <w:r>
              <w:rPr>
                <w:sz w:val="17"/>
              </w:rPr>
            </w:r>
            <w:r>
              <w:rPr>
                <w:b/>
                <w:sz w:val="17"/>
              </w:rPr>
              <w:t>Recall arm A</w:t>
            </w:r>
          </w:p>
        </w:tc>
        <w:tc>
          <w:tcPr>
            <w:tcW w:type="dxa" w:w="1361"/>
            <w:shd w:val="clear" w:color="auto" w:fill="E7ECF2"/>
          </w:tcPr>
          <w:p>
            <w:pPr>
              <w:spacing w:after="0"/>
            </w:pPr>
            <w:r>
              <w:rPr>
                <w:sz w:val="17"/>
              </w:rPr>
            </w:r>
            <w:r>
              <w:rPr>
                <w:b/>
                <w:sz w:val="17"/>
              </w:rPr>
              <w:t>Recall arm B</w:t>
            </w:r>
          </w:p>
        </w:tc>
        <w:tc>
          <w:tcPr>
            <w:tcW w:type="dxa" w:w="1814"/>
            <w:shd w:val="clear" w:color="auto" w:fill="E7ECF2"/>
          </w:tcPr>
          <w:p>
            <w:pPr>
              <w:spacing w:after="0"/>
            </w:pPr>
            <w:r>
              <w:rPr>
                <w:sz w:val="17"/>
              </w:rPr>
            </w:r>
            <w:r>
              <w:rPr>
                <w:b/>
                <w:sz w:val="17"/>
              </w:rPr>
              <w:t>Exposure advantage</w:t>
            </w:r>
          </w:p>
        </w:tc>
      </w:tr>
      <w:tr>
        <w:tc>
          <w:tcPr>
            <w:tcW w:type="dxa" w:w="2608"/>
          </w:tcPr>
          <w:p>
            <w:pPr>
              <w:spacing w:after="0"/>
            </w:pPr>
            <w:r>
              <w:rPr>
                <w:sz w:val="17"/>
              </w:rPr>
            </w:r>
            <w:r>
              <w:rPr>
                <w:sz w:val="17"/>
              </w:rPr>
              <w:t>Original photograph</w:t>
            </w:r>
          </w:p>
        </w:tc>
        <w:tc>
          <w:tcPr>
            <w:tcW w:type="dxa" w:w="1474"/>
          </w:tcPr>
          <w:p>
            <w:pPr>
              <w:spacing w:after="0"/>
            </w:pPr>
            <w:r>
              <w:rPr>
                <w:sz w:val="17"/>
              </w:rPr>
            </w:r>
            <w:r>
              <w:rPr>
                <w:sz w:val="17"/>
              </w:rPr>
              <w:t>—</w:t>
            </w:r>
          </w:p>
        </w:tc>
        <w:tc>
          <w:tcPr>
            <w:tcW w:type="dxa" w:w="1361"/>
          </w:tcPr>
          <w:p>
            <w:pPr>
              <w:spacing w:after="0"/>
            </w:pPr>
            <w:r>
              <w:rPr>
                <w:sz w:val="17"/>
              </w:rPr>
            </w:r>
            <w:r>
              <w:rPr>
                <w:sz w:val="17"/>
              </w:rPr>
              <w:t>53.9</w:t>
            </w:r>
          </w:p>
        </w:tc>
        <w:tc>
          <w:tcPr>
            <w:tcW w:type="dxa" w:w="1361"/>
          </w:tcPr>
          <w:p>
            <w:pPr>
              <w:spacing w:after="0"/>
            </w:pPr>
            <w:r>
              <w:rPr>
                <w:sz w:val="17"/>
              </w:rPr>
            </w:r>
            <w:r>
              <w:rPr>
                <w:sz w:val="17"/>
              </w:rPr>
              <w:t>40.3</w:t>
            </w:r>
          </w:p>
        </w:tc>
        <w:tc>
          <w:tcPr>
            <w:tcW w:type="dxa" w:w="1814"/>
          </w:tcPr>
          <w:p>
            <w:pPr>
              <w:spacing w:after="0"/>
            </w:pPr>
            <w:r>
              <w:rPr>
                <w:sz w:val="17"/>
              </w:rPr>
            </w:r>
            <w:r>
              <w:rPr>
                <w:sz w:val="17"/>
              </w:rPr>
              <w:t>+13.6</w:t>
            </w:r>
          </w:p>
        </w:tc>
      </w:tr>
      <w:tr>
        <w:tc>
          <w:tcPr>
            <w:tcW w:type="dxa" w:w="2608"/>
          </w:tcPr>
          <w:p>
            <w:pPr>
              <w:spacing w:after="0"/>
            </w:pPr>
            <w:r>
              <w:rPr>
                <w:sz w:val="17"/>
              </w:rPr>
            </w:r>
            <w:r>
              <w:rPr>
                <w:sz w:val="17"/>
              </w:rPr>
              <w:t>Label-identical (photometric)</w:t>
            </w:r>
          </w:p>
        </w:tc>
        <w:tc>
          <w:tcPr>
            <w:tcW w:type="dxa" w:w="1474"/>
          </w:tcPr>
          <w:p>
            <w:pPr>
              <w:spacing w:after="0"/>
            </w:pPr>
            <w:r>
              <w:rPr>
                <w:sz w:val="17"/>
              </w:rPr>
            </w:r>
            <w:r>
              <w:rPr>
                <w:sz w:val="17"/>
              </w:rPr>
              <w:t>32.7%</w:t>
            </w:r>
          </w:p>
        </w:tc>
        <w:tc>
          <w:tcPr>
            <w:tcW w:type="dxa" w:w="1361"/>
          </w:tcPr>
          <w:p>
            <w:pPr>
              <w:spacing w:after="0"/>
            </w:pPr>
            <w:r>
              <w:rPr>
                <w:sz w:val="17"/>
              </w:rPr>
            </w:r>
            <w:r>
              <w:rPr>
                <w:sz w:val="17"/>
              </w:rPr>
              <w:t>50.8</w:t>
            </w:r>
          </w:p>
        </w:tc>
        <w:tc>
          <w:tcPr>
            <w:tcW w:type="dxa" w:w="1361"/>
          </w:tcPr>
          <w:p>
            <w:pPr>
              <w:spacing w:after="0"/>
            </w:pPr>
            <w:r>
              <w:rPr>
                <w:sz w:val="17"/>
              </w:rPr>
            </w:r>
            <w:r>
              <w:rPr>
                <w:sz w:val="17"/>
              </w:rPr>
              <w:t>35.2</w:t>
            </w:r>
          </w:p>
        </w:tc>
        <w:tc>
          <w:tcPr>
            <w:tcW w:type="dxa" w:w="1814"/>
          </w:tcPr>
          <w:p>
            <w:pPr>
              <w:spacing w:after="0"/>
            </w:pPr>
            <w:r>
              <w:rPr>
                <w:sz w:val="17"/>
              </w:rPr>
            </w:r>
            <w:r>
              <w:rPr>
                <w:sz w:val="17"/>
              </w:rPr>
              <w:t>+15.6</w:t>
            </w:r>
          </w:p>
        </w:tc>
      </w:tr>
      <w:tr>
        <w:tc>
          <w:tcPr>
            <w:tcW w:type="dxa" w:w="2608"/>
          </w:tcPr>
          <w:p>
            <w:pPr>
              <w:spacing w:after="0"/>
            </w:pPr>
            <w:r>
              <w:rPr>
                <w:sz w:val="17"/>
              </w:rPr>
            </w:r>
            <w:r>
              <w:rPr>
                <w:sz w:val="17"/>
              </w:rPr>
              <w:t>Horizontal flip</w:t>
            </w:r>
          </w:p>
        </w:tc>
        <w:tc>
          <w:tcPr>
            <w:tcW w:type="dxa" w:w="1474"/>
          </w:tcPr>
          <w:p>
            <w:pPr>
              <w:spacing w:after="0"/>
            </w:pPr>
            <w:r>
              <w:rPr>
                <w:sz w:val="17"/>
              </w:rPr>
            </w:r>
            <w:r>
              <w:rPr>
                <w:sz w:val="17"/>
              </w:rPr>
              <w:t>14.2%</w:t>
            </w:r>
          </w:p>
        </w:tc>
        <w:tc>
          <w:tcPr>
            <w:tcW w:type="dxa" w:w="1361"/>
          </w:tcPr>
          <w:p>
            <w:pPr>
              <w:spacing w:after="0"/>
            </w:pPr>
            <w:r>
              <w:rPr>
                <w:sz w:val="17"/>
              </w:rPr>
            </w:r>
            <w:r>
              <w:rPr>
                <w:sz w:val="17"/>
              </w:rPr>
              <w:t>53.3</w:t>
            </w:r>
          </w:p>
        </w:tc>
        <w:tc>
          <w:tcPr>
            <w:tcW w:type="dxa" w:w="1361"/>
          </w:tcPr>
          <w:p>
            <w:pPr>
              <w:spacing w:after="0"/>
            </w:pPr>
            <w:r>
              <w:rPr>
                <w:sz w:val="17"/>
              </w:rPr>
            </w:r>
            <w:r>
              <w:rPr>
                <w:sz w:val="17"/>
              </w:rPr>
              <w:t>38.8</w:t>
            </w:r>
          </w:p>
        </w:tc>
        <w:tc>
          <w:tcPr>
            <w:tcW w:type="dxa" w:w="1814"/>
          </w:tcPr>
          <w:p>
            <w:pPr>
              <w:spacing w:after="0"/>
            </w:pPr>
            <w:r>
              <w:rPr>
                <w:sz w:val="17"/>
              </w:rPr>
            </w:r>
            <w:r>
              <w:rPr>
                <w:sz w:val="17"/>
              </w:rPr>
              <w:t>+14.5</w:t>
            </w:r>
          </w:p>
        </w:tc>
      </w:tr>
      <w:tr>
        <w:tc>
          <w:tcPr>
            <w:tcW w:type="dxa" w:w="2608"/>
          </w:tcPr>
          <w:p>
            <w:pPr>
              <w:spacing w:after="0"/>
            </w:pPr>
            <w:r>
              <w:rPr>
                <w:sz w:val="17"/>
              </w:rPr>
            </w:r>
            <w:r>
              <w:rPr>
                <w:sz w:val="17"/>
              </w:rPr>
              <w:t>Vertical flip</w:t>
            </w:r>
          </w:p>
        </w:tc>
        <w:tc>
          <w:tcPr>
            <w:tcW w:type="dxa" w:w="1474"/>
          </w:tcPr>
          <w:p>
            <w:pPr>
              <w:spacing w:after="0"/>
            </w:pPr>
            <w:r>
              <w:rPr>
                <w:sz w:val="17"/>
              </w:rPr>
            </w:r>
            <w:r>
              <w:rPr>
                <w:sz w:val="17"/>
              </w:rPr>
              <w:t>14.2%</w:t>
            </w:r>
          </w:p>
        </w:tc>
        <w:tc>
          <w:tcPr>
            <w:tcW w:type="dxa" w:w="1361"/>
          </w:tcPr>
          <w:p>
            <w:pPr>
              <w:spacing w:after="0"/>
            </w:pPr>
            <w:r>
              <w:rPr>
                <w:sz w:val="17"/>
              </w:rPr>
            </w:r>
            <w:r>
              <w:rPr>
                <w:sz w:val="17"/>
              </w:rPr>
              <w:t>49.8</w:t>
            </w:r>
          </w:p>
        </w:tc>
        <w:tc>
          <w:tcPr>
            <w:tcW w:type="dxa" w:w="1361"/>
          </w:tcPr>
          <w:p>
            <w:pPr>
              <w:spacing w:after="0"/>
            </w:pPr>
            <w:r>
              <w:rPr>
                <w:sz w:val="17"/>
              </w:rPr>
            </w:r>
            <w:r>
              <w:rPr>
                <w:sz w:val="17"/>
              </w:rPr>
              <w:t>35.3</w:t>
            </w:r>
          </w:p>
        </w:tc>
        <w:tc>
          <w:tcPr>
            <w:tcW w:type="dxa" w:w="1814"/>
          </w:tcPr>
          <w:p>
            <w:pPr>
              <w:spacing w:after="0"/>
            </w:pPr>
            <w:r>
              <w:rPr>
                <w:sz w:val="17"/>
              </w:rPr>
            </w:r>
            <w:r>
              <w:rPr>
                <w:sz w:val="17"/>
              </w:rPr>
              <w:t>+14.6</w:t>
            </w:r>
          </w:p>
        </w:tc>
      </w:tr>
      <w:tr>
        <w:tc>
          <w:tcPr>
            <w:tcW w:type="dxa" w:w="2608"/>
          </w:tcPr>
          <w:p>
            <w:pPr>
              <w:spacing w:after="0"/>
            </w:pPr>
            <w:r>
              <w:rPr>
                <w:sz w:val="17"/>
              </w:rPr>
            </w:r>
            <w:r>
              <w:rPr>
                <w:sz w:val="17"/>
              </w:rPr>
              <w:t>Crop / scale / shift</w:t>
            </w:r>
          </w:p>
        </w:tc>
        <w:tc>
          <w:tcPr>
            <w:tcW w:type="dxa" w:w="1474"/>
          </w:tcPr>
          <w:p>
            <w:pPr>
              <w:spacing w:after="0"/>
            </w:pPr>
            <w:r>
              <w:rPr>
                <w:sz w:val="17"/>
              </w:rPr>
            </w:r>
            <w:r>
              <w:rPr>
                <w:sz w:val="17"/>
              </w:rPr>
              <w:t>28.3%</w:t>
            </w:r>
          </w:p>
        </w:tc>
        <w:tc>
          <w:tcPr>
            <w:tcW w:type="dxa" w:w="1361"/>
          </w:tcPr>
          <w:p>
            <w:pPr>
              <w:spacing w:after="0"/>
            </w:pPr>
            <w:r>
              <w:rPr>
                <w:sz w:val="17"/>
              </w:rPr>
            </w:r>
            <w:r>
              <w:rPr>
                <w:sz w:val="17"/>
              </w:rPr>
              <w:t>45.9</w:t>
            </w:r>
          </w:p>
        </w:tc>
        <w:tc>
          <w:tcPr>
            <w:tcW w:type="dxa" w:w="1361"/>
          </w:tcPr>
          <w:p>
            <w:pPr>
              <w:spacing w:after="0"/>
            </w:pPr>
            <w:r>
              <w:rPr>
                <w:sz w:val="17"/>
              </w:rPr>
            </w:r>
            <w:r>
              <w:rPr>
                <w:sz w:val="17"/>
              </w:rPr>
              <w:t>39.4</w:t>
            </w:r>
          </w:p>
        </w:tc>
        <w:tc>
          <w:tcPr>
            <w:tcW w:type="dxa" w:w="1814"/>
          </w:tcPr>
          <w:p>
            <w:pPr>
              <w:spacing w:after="0"/>
            </w:pPr>
            <w:r>
              <w:rPr>
                <w:sz w:val="17"/>
              </w:rPr>
            </w:r>
            <w:r>
              <w:rPr>
                <w:sz w:val="17"/>
              </w:rPr>
              <w:t>+6.4</w:t>
            </w:r>
          </w:p>
        </w:tc>
      </w:tr>
      <w:tr>
        <w:tc>
          <w:tcPr>
            <w:tcW w:type="dxa" w:w="2608"/>
          </w:tcPr>
          <w:p>
            <w:pPr>
              <w:spacing w:after="0"/>
            </w:pPr>
            <w:r>
              <w:rPr>
                <w:sz w:val="17"/>
              </w:rPr>
            </w:r>
            <w:r>
              <w:rPr>
                <w:sz w:val="17"/>
              </w:rPr>
              <w:t>90° rotation</w:t>
            </w:r>
          </w:p>
        </w:tc>
        <w:tc>
          <w:tcPr>
            <w:tcW w:type="dxa" w:w="1474"/>
          </w:tcPr>
          <w:p>
            <w:pPr>
              <w:spacing w:after="0"/>
            </w:pPr>
            <w:r>
              <w:rPr>
                <w:sz w:val="17"/>
              </w:rPr>
            </w:r>
            <w:r>
              <w:rPr>
                <w:sz w:val="17"/>
              </w:rPr>
              <w:t>7.2%</w:t>
            </w:r>
          </w:p>
        </w:tc>
        <w:tc>
          <w:tcPr>
            <w:tcW w:type="dxa" w:w="1361"/>
          </w:tcPr>
          <w:p>
            <w:pPr>
              <w:spacing w:after="0"/>
            </w:pPr>
            <w:r>
              <w:rPr>
                <w:sz w:val="17"/>
              </w:rPr>
            </w:r>
            <w:r>
              <w:rPr>
                <w:sz w:val="17"/>
              </w:rPr>
              <w:t>43.3–48.5</w:t>
            </w:r>
          </w:p>
        </w:tc>
        <w:tc>
          <w:tcPr>
            <w:tcW w:type="dxa" w:w="1361"/>
          </w:tcPr>
          <w:p>
            <w:pPr>
              <w:spacing w:after="0"/>
            </w:pPr>
            <w:r>
              <w:rPr>
                <w:sz w:val="17"/>
              </w:rPr>
            </w:r>
            <w:r>
              <w:rPr>
                <w:sz w:val="17"/>
              </w:rPr>
              <w:t>30.6–33.4</w:t>
            </w:r>
          </w:p>
        </w:tc>
        <w:tc>
          <w:tcPr>
            <w:tcW w:type="dxa" w:w="1814"/>
          </w:tcPr>
          <w:p>
            <w:pPr>
              <w:spacing w:after="0"/>
            </w:pPr>
            <w:r>
              <w:rPr>
                <w:sz w:val="17"/>
              </w:rPr>
            </w:r>
            <w:r>
              <w:rPr>
                <w:sz w:val="17"/>
              </w:rPr>
              <w:t>+12.6–15.1</w:t>
            </w:r>
          </w:p>
        </w:tc>
      </w:tr>
      <w:tr>
        <w:tc>
          <w:tcPr>
            <w:tcW w:type="dxa" w:w="2608"/>
          </w:tcPr>
          <w:p>
            <w:pPr>
              <w:spacing w:after="0"/>
            </w:pPr>
            <w:r>
              <w:rPr>
                <w:sz w:val="17"/>
              </w:rPr>
            </w:r>
            <w:r>
              <w:rPr>
                <w:sz w:val="17"/>
              </w:rPr>
              <w:t>180° rotation</w:t>
            </w:r>
          </w:p>
        </w:tc>
        <w:tc>
          <w:tcPr>
            <w:tcW w:type="dxa" w:w="1474"/>
          </w:tcPr>
          <w:p>
            <w:pPr>
              <w:spacing w:after="0"/>
            </w:pPr>
            <w:r>
              <w:rPr>
                <w:sz w:val="17"/>
              </w:rPr>
            </w:r>
            <w:r>
              <w:rPr>
                <w:sz w:val="17"/>
              </w:rPr>
              <w:t>3.5%</w:t>
            </w:r>
          </w:p>
        </w:tc>
        <w:tc>
          <w:tcPr>
            <w:tcW w:type="dxa" w:w="1361"/>
          </w:tcPr>
          <w:p>
            <w:pPr>
              <w:spacing w:after="0"/>
            </w:pPr>
            <w:r>
              <w:rPr>
                <w:sz w:val="17"/>
              </w:rPr>
            </w:r>
            <w:r>
              <w:rPr>
                <w:sz w:val="17"/>
              </w:rPr>
              <w:t>42.0</w:t>
            </w:r>
          </w:p>
        </w:tc>
        <w:tc>
          <w:tcPr>
            <w:tcW w:type="dxa" w:w="1361"/>
          </w:tcPr>
          <w:p>
            <w:pPr>
              <w:spacing w:after="0"/>
            </w:pPr>
            <w:r>
              <w:rPr>
                <w:sz w:val="17"/>
              </w:rPr>
            </w:r>
            <w:r>
              <w:rPr>
                <w:sz w:val="17"/>
              </w:rPr>
              <w:t>35.5</w:t>
            </w:r>
          </w:p>
        </w:tc>
        <w:tc>
          <w:tcPr>
            <w:tcW w:type="dxa" w:w="1814"/>
          </w:tcPr>
          <w:p>
            <w:pPr>
              <w:spacing w:after="0"/>
            </w:pPr>
            <w:r>
              <w:rPr>
                <w:sz w:val="17"/>
              </w:rPr>
            </w:r>
            <w:r>
              <w:rPr>
                <w:sz w:val="17"/>
              </w:rPr>
              <w:t>+6.5</w:t>
            </w:r>
          </w:p>
        </w:tc>
      </w:tr>
    </w:tbl>
    <w:p>
      <w:pPr>
        <w:spacing w:after="40"/>
      </w:pPr>
    </w:p>
    <w:p>
      <w:r>
        <w:rPr>
          <w:sz w:val="20"/>
        </w:rPr>
        <w:t>Additional supplementary items available in the repository: full IoU-sweep tables, per-checkpoint learning curves, pre-registration documents (Phases 15, 16A, 17, locked test) and the post-hoc analysis plan with its SHA-256 hash.</w:t>
      </w:r>
    </w:p>
    <w:sectPr w:rsidR="00FC693F" w:rsidRPr="0006063C" w:rsidSect="00034616">
      <w:pgSz w:w="11906" w:h="16838"/>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