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838325" cy="238125"/>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838325" cy="2381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ectPr>
          <w:pgSz w:h="15840" w:w="12240" w:orient="portrait"/>
          <w:pgMar w:bottom="1170" w:top="630" w:left="1080" w:right="5089.6112060546875" w:header="0" w:footer="720"/>
          <w:pgNumType w:start="1"/>
          <w:cols w:equalWidth="0" w:num="2">
            <w:col w:space="0" w:w="3040"/>
            <w:col w:space="0" w:w="3040"/>
          </w:cols>
        </w:sect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5136833190918" w:lineRule="auto"/>
        <w:ind w:left="360" w:right="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STATEMENT OF WORK - 07</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5136833190918" w:lineRule="auto"/>
        <w:ind w:left="360" w:right="0" w:firstLine="0"/>
        <w:jc w:val="cente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5136833190918" w:lineRule="auto"/>
        <w:ind w:left="360" w:right="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DEDICATED TEAM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5136833190918" w:lineRule="auto"/>
        <w:ind w:left="360" w:right="0" w:firstLine="0"/>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5136833190918" w:lineRule="auto"/>
        <w:ind w:left="36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This Statement of Work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"SOW_CANVS_TKLLC_007"</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adopts and incorporates by reference the terms and  conditions of the Master Services Agreement dated February 8, 2021 by and between Mashwork, Inc. dba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Canvs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Customer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which term shall, wherever the context so permits or requires, mean and include its successors-in interest, legal representatives, administrators and permitted assigns by operation of law or contract), with its  principal place of business at 26 Broadway, New York City, New York, 10004, United States,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TkXel LLC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Consultant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which term shall, wherever the context so permits or requires, mean and include their  successors-in-interest, legal representatives, administrators and permitted assigns by operation of law or contract),  with its principal place of business at Reston Town Center I 11921 Freedom Drive Two Fountain Square Suite 550,  Reston VA 20190, USA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892578125" w:line="243.91851425170898" w:lineRule="auto"/>
        <w:ind w:left="413.00209045410156" w:right="21.8017578125" w:hanging="21.600036621093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Transactions performed under this SOW shall be conducted in accordance with and be subject to the terms and conditions of this SOW and the Agreement. Capitalized terms used and not defined herein shall have the meanings  specified in the Agreement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02734375" w:line="240" w:lineRule="auto"/>
        <w:ind w:left="404.40208435058594"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 Scope of Work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49951171875" w:line="240" w:lineRule="auto"/>
        <w:ind w:left="782.002029418945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The Consultant provides software development services on a full-time, dedicated team basis.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7958984375" w:line="277.52872467041016" w:lineRule="auto"/>
        <w:ind w:left="780.0020599365234" w:right="159.70703125" w:firstLine="1.9999694824218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1.2 A dedicated team basis assumes that the Consultant provides to the Client each resource available for any</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relevant tasks (an average of 8 working hours per day and 5 working days (Mon-Fri) per week). </w:t>
      </w:r>
    </w:p>
    <w:tbl>
      <w:tblPr>
        <w:tblStyle w:val="Table1"/>
        <w:tblW w:w="8980.0" w:type="dxa"/>
        <w:jc w:val="left"/>
        <w:tblInd w:w="800.400009155273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00"/>
        <w:gridCol w:w="2480"/>
        <w:gridCol w:w="3300"/>
        <w:tblGridChange w:id="0">
          <w:tblGrid>
            <w:gridCol w:w="3200"/>
            <w:gridCol w:w="2480"/>
            <w:gridCol w:w="330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860076904296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Resources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1.7303466796875"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Hourly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7.630615234375"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Monthly Rate </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44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Sr Engineer (Python,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028.40789794921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Java, React)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5.71533203125"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5.426025390625"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6.999816894531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QA (functional)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5.71533203125"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5.426025390625"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50012207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QA (Automation)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5.71533203125"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5.426025390625"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9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Sr. Solution Architect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5.71533203125"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4.75830078125"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1.1999511718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Solution Architect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5.71533203125"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5.426025390625"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14001464843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AI/ML SME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5.047607421875"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9.7998046875"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0.201110839843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UI/UX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5.71533203125"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5.426025390625"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9219055175781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Sr Engineer ( timezone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180.1992797851562"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overlap)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5.71533203125"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5.426025390625"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920013427734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Sr DevOps Engineer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457.8340148925781"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(timezone overlap)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5.71533203125"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5.426025390625"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8.659973144531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Mid-level DevOps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414.6755981445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Engineer (timezone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180.19744873046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overlap)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5.71533203125"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5.426025390625"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90008544921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UI/UX (timezone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180.19500732421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overlap)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5.71533203125"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5.426025390625"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838325" cy="238125"/>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838325" cy="23812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560546875" w:line="240" w:lineRule="auto"/>
        <w:ind w:left="390.00205993652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6005859375" w:line="284.88598823547363" w:lineRule="auto"/>
        <w:ind w:left="1113.202133178711" w:right="0.562744140625" w:hanging="331.2001037597656"/>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1.3 The above table is for general average costing purposes. As per Consultant policies, engineers are entitled</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 take sick, casual, and annual leaves besides public holidays. If in any given month the engineer is not</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available for work due to above mentioned holidays, the invoice will be reduced on a pro-rated basis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accordingly. Similarly, if a month contains more than 160 hours of work, then an invoice will be revised  upwards on a pro-rated basis.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953125" w:line="283.7223243713379" w:lineRule="auto"/>
        <w:ind w:left="1115.202407836914" w:right="3.80615234375" w:hanging="333.20037841796875"/>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1.4 If the Client requires any additional resources, the Consultant may extend the team for the additional  person(s) and may provide (and accordingly they have to be paid off) more quantity of hours on the  condition that this is agreed upon by both parties. The consultant may request a lead time of up to four (4)  weeks or less to arrange the additional resources.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376953125" w:line="283.7251567840576" w:lineRule="auto"/>
        <w:ind w:left="1113.602066040039" w:right="0.01953125" w:hanging="331.60003662109375"/>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 If the Client deems the supplied resource unskilled or inappropriate, the Client can request to replace the current resource with another one. In this case, the Consultant will make all efforts to provide another  candidate to the Client as soon as possible. The client has to provide a detailed explanation and arguments  for why the resource does not fit together, with examples of failed work.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46240234375" w:line="283.1447410583496" w:lineRule="auto"/>
        <w:ind w:left="1118.8021087646484" w:right="5.5859375" w:hanging="336.8000793457031"/>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1.6 Based on the rate card detailed above, the following team structure outlines the resources allocated to this  engagement. This structure has been determined in alignment with project requirements and budget  considerations, and may be subject to change upon mutual agreement. </w:t>
      </w:r>
    </w:p>
    <w:tbl>
      <w:tblPr>
        <w:tblStyle w:val="Table2"/>
        <w:tblW w:w="8670.0" w:type="dxa"/>
        <w:jc w:val="left"/>
        <w:tblInd w:w="1080.400009155273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1515"/>
        <w:gridCol w:w="1635"/>
        <w:gridCol w:w="3360"/>
        <w:tblGridChange w:id="0">
          <w:tblGrid>
            <w:gridCol w:w="2160"/>
            <w:gridCol w:w="1515"/>
            <w:gridCol w:w="1635"/>
            <w:gridCol w:w="3360"/>
          </w:tblGrid>
        </w:tblGridChange>
      </w:tblGrid>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0011596679688"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Resources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999633789062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Headcount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00268554687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Monthly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00170898437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 </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1.39999389648438" w:right="68.2568359375" w:hanging="9.7999572753906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Sr Engineers (Python,  React)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600036621093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Sr Engineer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147.60009765625" w:right="270.4302978515625"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(timezone overlap)  (Java, Python)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99914550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0017089843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7.60009765625" w:right="234.307861328125" w:hanging="6.000061035156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Sr Devops Engineer  (timezone overlap)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00036621093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3.40011596679688" w:right="223.46923828125" w:firstLine="7.99987792968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Mid-Level DevOps  Engineer (timezone  overlap)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00036621093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00134277343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QA (functional)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9986572265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2001037597656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UI/UX (timezone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43.400115966796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overlap)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00036621093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00134277343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QA Automation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00036621093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838325" cy="238125"/>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38325" cy="238125"/>
                    </a:xfrm>
                    <a:prstGeom prst="rect"/>
                    <a:ln/>
                  </pic:spPr>
                </pic:pic>
              </a:graphicData>
            </a:graphic>
          </wp:inline>
        </w:drawing>
      </w:r>
      <w:r w:rsidDel="00000000" w:rsidR="00000000" w:rsidRPr="00000000">
        <w:rPr>
          <w:rtl w:val="0"/>
        </w:rPr>
      </w:r>
    </w:p>
    <w:tbl>
      <w:tblPr>
        <w:tblStyle w:val="Table3"/>
        <w:tblW w:w="8680.0" w:type="dxa"/>
        <w:jc w:val="left"/>
        <w:tblInd w:w="1080.400009155273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700"/>
        <w:gridCol w:w="1640"/>
        <w:gridCol w:w="3360"/>
        <w:tblGridChange w:id="0">
          <w:tblGrid>
            <w:gridCol w:w="1980"/>
            <w:gridCol w:w="1700"/>
            <w:gridCol w:w="1640"/>
            <w:gridCol w:w="3360"/>
          </w:tblGrid>
        </w:tblGridChange>
      </w:tblGrid>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600036621093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Solution Architect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00036621093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Sr Solution Architect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600036621093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20043945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000305175781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AI/ML SME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00036621093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17.7529335021973" w:lineRule="auto"/>
        <w:ind w:left="421.4020538330078" w:right="431.630859375" w:firstLine="0"/>
        <w:jc w:val="left"/>
        <w:rPr>
          <w:rFonts w:ascii="Arial" w:cs="Arial" w:eastAsia="Arial" w:hAnsi="Arial"/>
          <w:b w:val="1"/>
          <w:bCs w:val="1"/>
          <w:i w:val="1"/>
          <w:iCs w:val="1"/>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4"/>
          <w:szCs w:val="14"/>
          <w:u w:val="none"/>
          <w:shd w:fill="auto" w:val="clear"/>
          <w:vertAlign w:val="baseline"/>
          <w:rtl w:val="0"/>
        </w:rPr>
        <w:t xml:space="preserve">The amounts mentioned in the table above are for general budgeting; the actual amounts might vary based on the allocation.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4020538330078" w:right="431.630859375"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Total monthly fee: </w:t>
      </w:r>
      <w:r w:rsidDel="00000000" w:rsidR="00000000" w:rsidRPr="00000000">
        <w:rPr>
          <w:rFonts w:ascii="Calibri" w:cs="Calibri" w:eastAsia="Calibri" w:hAnsi="Calibri"/>
          <w:b w:val="1"/>
          <w:bCs w:val="1"/>
          <w:sz w:val="20"/>
          <w:szCs w:val="20"/>
          <w:rtl w:val="0"/>
        </w:rPr>
        <w:t xml:space="preserve">—</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4020538330078" w:right="431.630859375" w:firstLine="0"/>
        <w:jc w:val="left"/>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4020538330078" w:right="431.630859375"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Discount applicable for team size greater than 8 resources: </w:t>
      </w: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4020538330078" w:right="431.630859375"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4020538330078" w:right="431.630859375"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Applicable monthly fee: </w:t>
      </w:r>
      <w:r w:rsidDel="00000000" w:rsidR="00000000" w:rsidRPr="00000000">
        <w:rPr>
          <w:rFonts w:ascii="Calibri" w:cs="Calibri" w:eastAsia="Calibri" w:hAnsi="Calibri"/>
          <w:b w:val="1"/>
          <w:bCs w:val="1"/>
          <w:sz w:val="20"/>
          <w:szCs w:val="20"/>
          <w:rtl w:val="0"/>
        </w:rPr>
        <w:t xml:space="preserve">—</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00341796875" w:line="240" w:lineRule="auto"/>
        <w:ind w:left="413.6020660400390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 Timeframe and Payment Schedule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00341796875" w:line="240" w:lineRule="auto"/>
        <w:ind w:left="405.00205993652344"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776.202011108398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 The start date of engagement is 05/01/2025 till 1/31/2026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40126800537" w:lineRule="auto"/>
        <w:ind w:left="1493.9999389648438" w:right="226.494140625" w:firstLine="2.20001220703125"/>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2.1.1 . Term: This SOW shall be effective from the SOW Effective Date and shall stand renewed</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automatically for further periods of six (6) months each (the "Term") unless a written notice of</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non-renewal is given by either Party to the other at least eight (8) weeks prior to expiry of the Term.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6005859375" w:line="281.19635581970215" w:lineRule="auto"/>
        <w:ind w:left="1140.0020599365234" w:right="32.7001953125" w:hanging="363.8000488281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2.2 Consultant will submit monthly invoices at the end of every month for fees and expenses via email to  billing@canvs.ai, payable net 30 days from the receipt. Any dispute with respect to any fee or payment will</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 made by Customer within no later than 5 days from Customer’s receipt of the invoice by email.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720947265625" w:line="240" w:lineRule="auto"/>
        <w:ind w:left="413.4020233154297"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 On-site Deployment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979736328125" w:line="239.9628782272339" w:lineRule="auto"/>
        <w:ind w:left="420.00205993652344" w:right="232.6806640625" w:firstLine="1.79992675781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case of onsite engagement for short periods, a separate hourly rate will be shared, and the Customer shall also</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reimburse the Consultant for actual and reasonable travel and living expenses incurred in the course of the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performance of its Services.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1329345703125" w:line="240" w:lineRule="auto"/>
        <w:ind w:left="393.6020660400390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4. Customer Responsibility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9798583984375" w:line="240" w:lineRule="auto"/>
        <w:ind w:left="421.8019866943359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For successful dedicated team engagement, the Client has to  </w:t>
      </w:r>
    </w:p>
    <w:p w:rsidR="00000000" w:rsidDel="00000000" w:rsidP="00000000" w:rsidRDefault="00000000" w:rsidRPr="00000000" w14:paraId="0000008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61.5997314453125" w:line="239.96302127838135" w:lineRule="auto"/>
        <w:ind w:left="1440" w:right="99.55078125" w:hanging="360"/>
        <w:jc w:val="left"/>
        <w:rPr>
          <w:rFonts w:ascii="Calibri" w:cs="Calibri" w:eastAsia="Calibri" w:hAnsi="Calibri"/>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Assign appropriate resources on its side to ensure that the team has its task list available, prioritized, and</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reasonably planned. Ideally, there needs to be a dedicated product manager who can create and prioritize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backlog of items.  </w:t>
      </w:r>
    </w:p>
    <w:p w:rsidR="00000000" w:rsidDel="00000000" w:rsidP="00000000" w:rsidRDefault="00000000" w:rsidRPr="00000000" w14:paraId="0000008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39.9040126800537" w:lineRule="auto"/>
        <w:ind w:left="1440" w:right="1177.9095458984375"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Provide in-time required access to code, documentation, servers, and other necessary items.  </w:t>
      </w: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39.9040126800537" w:lineRule="auto"/>
        <w:ind w:left="1440" w:right="1177.9095458984375"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 available for calls and meetings.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1.4020538330078" w:righ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1.4020538330078" w:righ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1.4020538330078" w:righ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1.4020538330078" w:righ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1.4020538330078" w:righ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B">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Pr>
        <w:drawing>
          <wp:inline distB="19050" distT="19050" distL="19050" distR="19050">
            <wp:extent cx="1838325" cy="238125"/>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838325" cy="23812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1.4020538330078" w:righ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1.4020538330078" w:righ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1.4020538330078" w:righ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1.4020538330078" w:righ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1.402053833007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Parties hereto have signed and executed this SOW at the place and date hereinabove mentioned. </w:t>
      </w:r>
    </w:p>
    <w:tbl>
      <w:tblPr>
        <w:tblStyle w:val="Table4"/>
        <w:tblW w:w="9400.0" w:type="dxa"/>
        <w:jc w:val="left"/>
        <w:tblInd w:w="360.40000915527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00"/>
        <w:gridCol w:w="4700"/>
        <w:tblGridChange w:id="0">
          <w:tblGrid>
            <w:gridCol w:w="4700"/>
            <w:gridCol w:w="4700"/>
          </w:tblGrid>
        </w:tblGridChange>
      </w:tblGrid>
      <w:tr>
        <w:trPr>
          <w:cantSplit w:val="0"/>
          <w:trHeight w:val="336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0200195312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TKXEL LLC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48.40209960937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Name: Tahniyat Kazmi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35.80200195312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Title: Director of Technology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48.40209960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Date: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06/17/2025</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545654296875" w:line="240" w:lineRule="auto"/>
              <w:ind w:left="13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19050" distT="19050" distL="19050" distR="19050">
                  <wp:extent cx="901700" cy="266700"/>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9017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______________________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020629882812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Authorized Signature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Canvs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Name: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Lindsey Lac</w:t>
            </w:r>
            <w:r w:rsidDel="00000000" w:rsidR="00000000" w:rsidRPr="00000000">
              <w:rPr>
                <w:sz w:val="20"/>
                <w:szCs w:val="20"/>
                <w:rtl w:val="0"/>
              </w:rPr>
              <w:t xml:space="preserve">y</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Title: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VP of Finance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Date: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06/17/2025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545654296875" w:line="240" w:lineRule="auto"/>
              <w:ind w:left="129.200439453125" w:right="0" w:firstLine="0"/>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Pr>
              <w:drawing>
                <wp:inline distB="19050" distT="19050" distL="19050" distR="19050">
                  <wp:extent cx="723900" cy="254000"/>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7239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20043945312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____________________________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99926757812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Authorized Signature  </w:t>
            </w:r>
          </w:p>
        </w:tc>
      </w:tr>
    </w:tbl>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type w:val="continuous"/>
      <w:pgSz w:h="15840" w:w="12240" w:orient="portrait"/>
      <w:pgMar w:bottom="1170" w:top="630" w:left="1049.5999908447266" w:right="1354.8095703125" w:header="0" w:footer="720"/>
      <w:cols w:equalWidth="0" w:num="1">
        <w:col w:space="0" w:w="9835.59043884277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