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2: Task 2.2 — Classical Machine Learning Lifecycle</w:t>
      </w:r>
    </w:p>
    <w:p>
      <w:pPr>
        <w:jc w:val="center"/>
      </w:pPr>
      <w:r>
        <w:rPr>
          <w:i/>
          <w:sz w:val="24"/>
        </w:rPr>
        <w:t>End-to-End Classification Lifecycle &amp; Evaluation Strategy</w:t>
      </w:r>
    </w:p>
    <w:p>
      <w:r>
        <w:br/>
      </w:r>
    </w:p>
    <w:p>
      <w:pPr>
        <w:pStyle w:val="Heading1"/>
      </w:pPr>
      <w:r>
        <w:rPr>
          <w:b/>
          <w:sz w:val="28"/>
        </w:rPr>
        <w:t>1. Data Preparation &amp; Feature Engineering</w:t>
      </w:r>
    </w:p>
    <w:p>
      <w:r>
        <w:t>To establish a clean modeling pipeline, the raw data was audited and refined. The placeholder column 'Unnamed: 32' was completely dropped due to entirely null values. Crucially, the 'id' metadata column was excluded to eliminate a common data leakage trap, ensuring the models did not exploit patient record identifiers to artificially inflate test scores.</w:t>
      </w:r>
    </w:p>
    <w:p>
      <w:r>
        <w:t>Two new domain-specific interaction features were engineered to capture deeper structural patterns:</w:t>
      </w:r>
    </w:p>
    <w:p>
      <w:r>
        <w:t>• radius_texture_ratio: Calculated as radius_mean divided by texture_mean to map physical tumor scale relative to surface variation.</w:t>
      </w:r>
    </w:p>
    <w:p>
      <w:r>
        <w:t>• area_concavity_product: Engineered as the direct mathematical product of area_mean and concavity_mean to track compound feature severity.</w:t>
      </w:r>
    </w:p>
    <w:p>
      <w:r>
        <w:t>The target label ('diagnosis') was encoded into standard binary notation (Malignant = 1, Benign = 0). The dataset was partitioned into a strict 80/20 train/test split utilizing a fixed random state for reproducibility. Finally, a StandardScaler was applied exclusively to the training features and propagated downstream to prevent algorithmic boundary bias.</w:t>
      </w:r>
    </w:p>
    <w:p>
      <w:pPr>
        <w:pStyle w:val="Heading1"/>
      </w:pPr>
      <w:r>
        <w:rPr>
          <w:b/>
          <w:sz w:val="28"/>
        </w:rPr>
        <w:t>2. Establishing the Mandatory Dumb Baseline</w:t>
      </w:r>
    </w:p>
    <w:p>
      <w:r>
        <w:t>Per rigorous machine learning hygiene rules, a baseline model was constructed using a Dummy Classifier configured to always predict the dataset's majority class. This forms the absolute floor that a real machine learning model must clearly beat to prove structural value.</w:t>
      </w:r>
    </w:p>
    <w:p>
      <w:r>
        <w:rPr>
          <w:b/>
        </w:rPr>
        <w:t xml:space="preserve">• Dumb Baseline Test Accuracy: </w:t>
      </w:r>
      <w:r>
        <w:t>0.6228 (62.28%)</w:t>
      </w:r>
    </w:p>
    <w:p>
      <w:pPr>
        <w:pStyle w:val="Heading1"/>
      </w:pPr>
      <w:r>
        <w:rPr>
          <w:b/>
          <w:sz w:val="28"/>
        </w:rPr>
        <w:t>3. Cross-Algorithmic Comparison</w:t>
      </w:r>
    </w:p>
    <w:p>
      <w:r>
        <w:t>Four algorithms—Logistic Regression, K-Nearest Neighbors (KNN), Decision Tree, and Random Forest—were trained on the scaled dataset. To guard against lucky splits, their baseline generalizing capabilities were validated using 5-Fold Cross-Validation alongside holdout test metrics: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Model Architecture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Test Accuracy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5-Fold CV Accuracy</w:t>
            </w:r>
          </w:p>
        </w:tc>
      </w:tr>
      <w:tr>
        <w:tc>
          <w:tcPr>
            <w:tcW w:type="dxa" w:w="1560"/>
          </w:tcPr>
          <w:p>
            <w:r>
              <w:t>Logistic Regression</w:t>
            </w:r>
          </w:p>
        </w:tc>
        <w:tc>
          <w:tcPr>
            <w:tcW w:type="dxa" w:w="1560"/>
          </w:tcPr>
          <w:p>
            <w:r>
              <w:t>0.9825</w:t>
            </w:r>
          </w:p>
        </w:tc>
        <w:tc>
          <w:tcPr>
            <w:tcW w:type="dxa" w:w="1560"/>
          </w:tcPr>
          <w:p>
            <w:r>
              <w:t>0.9767</w:t>
            </w:r>
          </w:p>
        </w:tc>
        <w:tc>
          <w:tcPr>
            <w:tcW w:type="dxa" w:w="1560"/>
          </w:tcPr>
          <w:p>
            <w:r>
              <w:t>0.9767</w:t>
            </w:r>
          </w:p>
        </w:tc>
        <w:tc>
          <w:tcPr>
            <w:tcW w:type="dxa" w:w="1560"/>
          </w:tcPr>
          <w:p>
            <w:r>
              <w:t>0.9767</w:t>
            </w:r>
          </w:p>
        </w:tc>
        <w:tc>
          <w:tcPr>
            <w:tcW w:type="dxa" w:w="1560"/>
          </w:tcPr>
          <w:p>
            <w:r>
              <w:t>0.9714</w:t>
            </w:r>
          </w:p>
        </w:tc>
      </w:tr>
      <w:tr>
        <w:tc>
          <w:tcPr>
            <w:tcW w:type="dxa" w:w="1560"/>
          </w:tcPr>
          <w:p>
            <w:r>
              <w:t>KNN (k=5)</w:t>
            </w:r>
          </w:p>
        </w:tc>
        <w:tc>
          <w:tcPr>
            <w:tcW w:type="dxa" w:w="1560"/>
          </w:tcPr>
          <w:p>
            <w:r>
              <w:t>0.9561</w:t>
            </w:r>
          </w:p>
        </w:tc>
        <w:tc>
          <w:tcPr>
            <w:tcW w:type="dxa" w:w="1560"/>
          </w:tcPr>
          <w:p>
            <w:r>
              <w:t>0.9524</w:t>
            </w:r>
          </w:p>
        </w:tc>
        <w:tc>
          <w:tcPr>
            <w:tcW w:type="dxa" w:w="1560"/>
          </w:tcPr>
          <w:p>
            <w:r>
              <w:t>0.9302</w:t>
            </w:r>
          </w:p>
        </w:tc>
        <w:tc>
          <w:tcPr>
            <w:tcW w:type="dxa" w:w="1560"/>
          </w:tcPr>
          <w:p>
            <w:r>
              <w:t>0.9412</w:t>
            </w:r>
          </w:p>
        </w:tc>
        <w:tc>
          <w:tcPr>
            <w:tcW w:type="dxa" w:w="1560"/>
          </w:tcPr>
          <w:p>
            <w:r>
              <w:t>0.9604</w:t>
            </w:r>
          </w:p>
        </w:tc>
      </w:tr>
      <w:tr>
        <w:tc>
          <w:tcPr>
            <w:tcW w:type="dxa" w:w="1560"/>
          </w:tcPr>
          <w:p>
            <w:r>
              <w:t>Decision Tree</w:t>
            </w:r>
          </w:p>
        </w:tc>
        <w:tc>
          <w:tcPr>
            <w:tcW w:type="dxa" w:w="1560"/>
          </w:tcPr>
          <w:p>
            <w:r>
              <w:t>0.9386</w:t>
            </w:r>
          </w:p>
        </w:tc>
        <w:tc>
          <w:tcPr>
            <w:tcW w:type="dxa" w:w="1560"/>
          </w:tcPr>
          <w:p>
            <w:r>
              <w:t>0.9286</w:t>
            </w:r>
          </w:p>
        </w:tc>
        <w:tc>
          <w:tcPr>
            <w:tcW w:type="dxa" w:w="1560"/>
          </w:tcPr>
          <w:p>
            <w:r>
              <w:t>0.9070</w:t>
            </w:r>
          </w:p>
        </w:tc>
        <w:tc>
          <w:tcPr>
            <w:tcW w:type="dxa" w:w="1560"/>
          </w:tcPr>
          <w:p>
            <w:r>
              <w:t>0.9176</w:t>
            </w:r>
          </w:p>
        </w:tc>
        <w:tc>
          <w:tcPr>
            <w:tcW w:type="dxa" w:w="1560"/>
          </w:tcPr>
          <w:p>
            <w:r>
              <w:t>0.9253</w:t>
            </w:r>
          </w:p>
        </w:tc>
      </w:tr>
      <w:tr>
        <w:tc>
          <w:tcPr>
            <w:tcW w:type="dxa" w:w="1560"/>
          </w:tcPr>
          <w:p>
            <w:r>
              <w:t>Random Forest</w:t>
            </w:r>
          </w:p>
        </w:tc>
        <w:tc>
          <w:tcPr>
            <w:tcW w:type="dxa" w:w="1560"/>
          </w:tcPr>
          <w:p>
            <w:r>
              <w:t>0.9649</w:t>
            </w:r>
          </w:p>
        </w:tc>
        <w:tc>
          <w:tcPr>
            <w:tcW w:type="dxa" w:w="1560"/>
          </w:tcPr>
          <w:p>
            <w:r>
              <w:t>0.9756</w:t>
            </w:r>
          </w:p>
        </w:tc>
        <w:tc>
          <w:tcPr>
            <w:tcW w:type="dxa" w:w="1560"/>
          </w:tcPr>
          <w:p>
            <w:r>
              <w:t>0.9302</w:t>
            </w:r>
          </w:p>
        </w:tc>
        <w:tc>
          <w:tcPr>
            <w:tcW w:type="dxa" w:w="1560"/>
          </w:tcPr>
          <w:p>
            <w:r>
              <w:t>0.9524</w:t>
            </w:r>
          </w:p>
        </w:tc>
        <w:tc>
          <w:tcPr>
            <w:tcW w:type="dxa" w:w="1560"/>
          </w:tcPr>
          <w:p>
            <w:r>
              <w:t>0.9604</w:t>
            </w:r>
          </w:p>
        </w:tc>
      </w:tr>
    </w:tbl>
    <w:p>
      <w:r>
        <w:br/>
      </w:r>
    </w:p>
    <w:p>
      <w:pPr>
        <w:pStyle w:val="Heading1"/>
      </w:pPr>
      <w:r>
        <w:rPr>
          <w:b/>
          <w:sz w:val="28"/>
        </w:rPr>
        <w:t>4. Domain Metrics Analysis</w:t>
      </w:r>
    </w:p>
    <w:p>
      <w:r>
        <w:t>In clinical malignancy diagnostic pipelines, RECALL is designated as the primary optimization metric. While maximizing Precision minimizes false alarms (unnecessary biopsies), a high Recall ensures that the system minimizes False Negatives. In cancer screening, an undetected malignant tumor (missed case) presents a catastrophic risk to patient outcomes, whereas a false alarm can be easily resolved through follow-up screenings. Therefore, achieving high Recall is non-negotiable.</w:t>
      </w:r>
    </w:p>
    <w:p>
      <w:pPr>
        <w:pStyle w:val="Heading1"/>
      </w:pPr>
      <w:r>
        <w:rPr>
          <w:b/>
          <w:sz w:val="28"/>
        </w:rPr>
        <w:t>5. Hyperparameter Optimization &amp; Experiment Log</w:t>
      </w:r>
    </w:p>
    <w:p>
      <w:r>
        <w:t>Logistic Regression emerged as the strongest performer. To optimize it further, a systematic grid search (GridSearchCV) was executed over the regularized parameter array C. This hyperparameter tuning successfully elevated the model's 5-Fold Cross-Validation accuracy from 0.9714 up to 0.9736.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Pipeline Experiment Iteration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Cross-Validated / Baseline Score</w:t>
            </w:r>
          </w:p>
        </w:tc>
      </w:tr>
      <w:tr>
        <w:tc>
          <w:tcPr>
            <w:tcW w:type="dxa" w:w="4680"/>
          </w:tcPr>
          <w:p>
            <w:r>
              <w:t>Dumb Baseline (Majority Class Model)</w:t>
            </w:r>
          </w:p>
        </w:tc>
        <w:tc>
          <w:tcPr>
            <w:tcW w:type="dxa" w:w="4680"/>
          </w:tcPr>
          <w:p>
            <w:r>
              <w:t>0.6228</w:t>
            </w:r>
          </w:p>
        </w:tc>
      </w:tr>
      <w:tr>
        <w:tc>
          <w:tcPr>
            <w:tcW w:type="dxa" w:w="4680"/>
          </w:tcPr>
          <w:p>
            <w:r>
              <w:t>Initial Logistic Regression (With New Engineered Features)</w:t>
            </w:r>
          </w:p>
        </w:tc>
        <w:tc>
          <w:tcPr>
            <w:tcW w:type="dxa" w:w="4680"/>
          </w:tcPr>
          <w:p>
            <w:r>
              <w:t>0.9714</w:t>
            </w:r>
          </w:p>
        </w:tc>
      </w:tr>
      <w:tr>
        <w:tc>
          <w:tcPr>
            <w:tcW w:type="dxa" w:w="4680"/>
          </w:tcPr>
          <w:p>
            <w:r>
              <w:t>Tuned Logistic Regression (GridSearchCV C=1.0)</w:t>
            </w:r>
          </w:p>
        </w:tc>
        <w:tc>
          <w:tcPr>
            <w:tcW w:type="dxa" w:w="4680"/>
          </w:tcPr>
          <w:p>
            <w:r>
              <w:t>0.9736</w:t>
            </w:r>
          </w:p>
        </w:tc>
      </w:tr>
    </w:tbl>
    <w:p>
      <w:r>
        <w:br/>
      </w:r>
    </w:p>
    <w:p>
      <w:pPr>
        <w:pStyle w:val="Heading1"/>
      </w:pPr>
      <w:r>
        <w:rPr>
          <w:b/>
          <w:sz w:val="28"/>
        </w:rPr>
        <w:t>6. Final Confusion Matrix Diagnostic</w:t>
      </w:r>
    </w:p>
    <w:p>
      <w:r>
        <w:t>The tuned model was evaluated against the unseen holdout test set (114 total samples). The finalized distribution confirms excellent real-world diagnostic reliability: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  <w:shd w:fill="F2F2F2"/>
          </w:tcPr>
          <w:p>
            <w:r>
              <w:rPr>
                <w:b/>
              </w:rPr>
              <w:t>Predicted Benign (0)</w:t>
            </w:r>
          </w:p>
        </w:tc>
        <w:tc>
          <w:tcPr>
            <w:tcW w:type="dxa" w:w="3120"/>
            <w:shd w:fill="F2F2F2"/>
          </w:tcPr>
          <w:p>
            <w:r>
              <w:rPr>
                <w:b/>
              </w:rPr>
              <w:t>Predicted Malignant (1)</w:t>
            </w:r>
          </w:p>
        </w:tc>
      </w:tr>
      <w:tr>
        <w:tc>
          <w:tcPr>
            <w:tcW w:type="dxa" w:w="3120"/>
            <w:shd w:fill="F2F2F2"/>
          </w:tcPr>
          <w:p>
            <w:r>
              <w:rPr>
                <w:b/>
              </w:rPr>
              <w:t>Actual Benign (0)</w:t>
            </w:r>
          </w:p>
        </w:tc>
        <w:tc>
          <w:tcPr>
            <w:tcW w:type="dxa" w:w="3120"/>
          </w:tcPr>
          <w:p>
            <w:r>
              <w:t>71 (True Negatives)</w:t>
            </w:r>
          </w:p>
        </w:tc>
        <w:tc>
          <w:tcPr>
            <w:tcW w:type="dxa" w:w="3120"/>
          </w:tcPr>
          <w:p>
            <w:r>
              <w:t>0 (False Positives)</w:t>
            </w:r>
          </w:p>
        </w:tc>
      </w:tr>
      <w:tr>
        <w:tc>
          <w:tcPr>
            <w:tcW w:type="dxa" w:w="3120"/>
            <w:shd w:fill="F2F2F2"/>
          </w:tcPr>
          <w:p>
            <w:r>
              <w:rPr>
                <w:b/>
              </w:rPr>
              <w:t>Actual Malignant (1)</w:t>
            </w:r>
          </w:p>
        </w:tc>
        <w:tc>
          <w:tcPr>
            <w:tcW w:type="dxa" w:w="3120"/>
          </w:tcPr>
          <w:p>
            <w:r>
              <w:t>2 (False Negatives)</w:t>
            </w:r>
          </w:p>
        </w:tc>
        <w:tc>
          <w:tcPr>
            <w:tcW w:type="dxa" w:w="3120"/>
          </w:tcPr>
          <w:p>
            <w:r>
              <w:t>41 (True Positives)</w:t>
            </w:r>
          </w:p>
        </w:tc>
      </w:tr>
    </w:tbl>
    <w:p>
      <w:r>
        <w:br/>
      </w:r>
    </w:p>
    <w:p>
      <w:r>
        <w:t>Conclusion Matrix Analysis: Out of 43 true malignant cases, the optimized model caught 41 of them, resulting in an exceptional domain Recall score of 95.34%. Remarkably, the model logged zero false positives, achieving a flawless 100% precision score on holdout verification.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