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Table 1.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cPPO vs. unconstrained PPO on the UR5e lift task (Layer 1 benchmark). Both agents share the same environment and manipulability floor (0.045); they differ only in the Lagrangian safety constraint.</w:t>
      </w:r>
    </w:p>
    <w:tbl>
      <w:tblPr>
        <w:tblW w:type="dxa" w:w="9360"/>
        <w:jc w:val="center"/>
        <w:tblBorders>
          <w:top w:val="single" w:color="9BA9C4" w:sz="4"/>
          <w:left w:val="single" w:color="9BA9C4" w:sz="4"/>
          <w:bottom w:val="single" w:color="9BA9C4" w:sz="4"/>
          <w:right w:val="single" w:color="9BA9C4" w:sz="4"/>
          <w:insideH w:val="single" w:color="9BA9C4" w:sz="4"/>
          <w:insideV w:val="single" w:color="9BA9C4" w:sz="4"/>
        </w:tblBorders>
      </w:tblPr>
      <w:tblGrid>
        <w:gridCol w:w="3560"/>
        <w:gridCol w:w="2900"/>
        <w:gridCol w:w="2900"/>
      </w:tblGrid>
      <w:tr>
        <w:trPr>
          <w:tblHeader/>
        </w:trPr>
        <w:tc>
          <w:tcPr>
            <w:tcW w:type="dxa" w:w="3560"/>
            <w:shd w:fill="2E549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Metric</w:t>
            </w:r>
          </w:p>
        </w:tc>
        <w:tc>
          <w:tcPr>
            <w:tcW w:type="dxa" w:w="2900"/>
            <w:shd w:fill="2E549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PPO (unconstrained)</w:t>
            </w:r>
          </w:p>
        </w:tc>
        <w:tc>
          <w:tcPr>
            <w:tcW w:type="dxa" w:w="2900"/>
            <w:shd w:fill="2E549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cPPO (constrained)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Success rate (%)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Final mean reward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Mean episodic cost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Cost λ (final)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Singularity violation rate (%)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56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8"/>
                <w:szCs w:val="28"/>
              </w:rPr>
              <w:t xml:space="preserve">Joint-limit violation rate (%) †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</w:tr>
      <w:tr>
        <w:tc>
          <w:tcPr>
            <w:tcW w:type="dxa" w:w="356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8"/>
                <w:szCs w:val="28"/>
              </w:rPr>
              <w:t xml:space="preserve">Collision violation rate (%) †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  <w:tc>
          <w:tcPr>
            <w:tcW w:type="dxa" w:w="2900"/>
            <w:shd w:fill="EAEFF7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20" w:before="20" w:line="30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—</w:t>
            </w:r>
          </w:p>
        </w:tc>
      </w:tr>
    </w:tbl>
    <w:p>
      <w:pPr>
        <w:spacing w:after="0" w:before="2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† Monitored-but-satisfied constraints (inactive by construction in this tabletop workspace: baseline joint-limit clearance ≥ 1.39 rad, link height ≥ 0.125 m). Reported for honesty; expected ≈ 0 for both agents. Delete these two rows if not needed.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2026-07-19T06:23:14.314Z</dcterms:created>
  <dcterms:modified xsi:type="dcterms:W3CDTF">2026-07-19T06:23:14.314Z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