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Table 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cPPO vs. unconstrained PPO on the UR5e lift task (Layer 1 benchmark). Both agents share the same environment and manipulability floor (0.045); they differ only in the Lagrangian safety constraint.</w:t>
      </w:r>
    </w:p>
    <w:tbl>
      <w:tblPr>
        <w:tblW w:type="dxa" w:w="9360"/>
        <w:jc w:val="center"/>
        <w:tblBorders>
          <w:top w:val="single" w:color="9BA9C4" w:sz="4"/>
          <w:left w:val="single" w:color="9BA9C4" w:sz="4"/>
          <w:bottom w:val="single" w:color="9BA9C4" w:sz="4"/>
          <w:right w:val="single" w:color="9BA9C4" w:sz="4"/>
          <w:insideH w:val="single" w:color="9BA9C4" w:sz="4"/>
          <w:insideV w:val="single" w:color="9BA9C4" w:sz="4"/>
        </w:tblBorders>
      </w:tblPr>
      <w:tblGrid>
        <w:gridCol w:w="3560"/>
        <w:gridCol w:w="2900"/>
        <w:gridCol w:w="2900"/>
      </w:tblGrid>
      <w:tr>
        <w:trPr>
          <w:tblHeader/>
        </w:trPr>
        <w:tc>
          <w:tcPr>
            <w:tcW w:type="dxa" w:w="3560"/>
            <w:shd w:fill="2E549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Metric</w:t>
            </w:r>
          </w:p>
        </w:tc>
        <w:tc>
          <w:tcPr>
            <w:tcW w:type="dxa" w:w="2900"/>
            <w:shd w:fill="2E549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PPO (unconstrained)</w:t>
            </w:r>
          </w:p>
        </w:tc>
        <w:tc>
          <w:tcPr>
            <w:tcW w:type="dxa" w:w="2900"/>
            <w:shd w:fill="2E549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cPPO (constrained)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Lift success (%)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100.0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100.0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Goal-reach success (%)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100.0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99.6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Final mean reward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167.2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166.3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Singularity violation rate (%)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16.86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6.65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Mean safety cost, per step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0.0201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0.0149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Cost λ, final ‡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N/A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</w:t>
            </w:r>
          </w:p>
        </w:tc>
      </w:tr>
      <w:tr>
        <w:tc>
          <w:tcPr>
            <w:tcW w:type="dxa" w:w="356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8"/>
                <w:szCs w:val="28"/>
              </w:rPr>
              <w:t xml:space="preserve">Joint-limit violation rate (%) †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</w:t>
            </w:r>
          </w:p>
        </w:tc>
      </w:tr>
      <w:tr>
        <w:tc>
          <w:tcPr>
            <w:tcW w:type="dxa" w:w="356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8"/>
                <w:szCs w:val="28"/>
              </w:rPr>
              <w:t xml:space="preserve">Collision violation rate (%) †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0.0</w:t>
            </w:r>
          </w:p>
        </w:tc>
      </w:tr>
    </w:tbl>
    <w:p>
      <w:pPr>
        <w:spacing w:after="0" w:before="2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Headline: cPPO matches PPO on task performance — both lift the cube on ~100% of 512 evaluation episodes and reach near-identical reward (166.3 vs 167.2) — while cutting time in near-singular poses by ~60% (singularity violation 6.65% vs 16.86%). Safety at essentially no task cost. cPPO Lagrangian dynamics (1500 iters, num_envs=4096): mean episodic cost peaked ≈ 80.2 before the constraint drove it to 2.24, well under the cost_limit = 25 budget; cost λ rose to a 16.7 peak (cap 100, never railed) then relaxed to 0 once cost fell under budget.</w:t>
      </w:r>
    </w:p>
    <w:p>
      <w:pPr>
        <w:spacing w:after="0" w:before="12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Success rates measured over 512 evaluation episodes (64 envs): lift success = cube raised &gt; 0.1 m above the table; goal-reach = lifted and within 1 cm of the commanded goal. ‡ Cost λ (the Lagrangian dual variable) exists only for the constrained agent — plain PPO has no constraint, hence N/A. Both agents log the per-step safety cost (safety/cost_total) on the same 0.045 manipulability floor. † Monitored constraints, inactive by construction in this tabletop workspace: the arm never nears its joint limits (baseline min clearance ≥ 1.39 rad) or the table (min link height ≥ 0.125 m), so both agents record a 0.0 violation rate. Reported for completeness.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2026-07-20T16:05:18.721Z</dcterms:created>
  <dcterms:modified xsi:type="dcterms:W3CDTF">2026-07-20T16:05:18.721Z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