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Table 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cPPO vs. unconstrained PPO on the UR5e lift task (Layer 1 benchmark). Both agents share the same environment and manipulability floor (0.045); they differ only in the Lagrangian safety constraint.</w:t>
      </w:r>
    </w:p>
    <w:tbl>
      <w:tblPr>
        <w:tblW w:type="dxa" w:w="9360"/>
        <w:jc w:val="center"/>
        <w:tblBorders>
          <w:top w:val="single" w:color="9BA9C4" w:sz="4"/>
          <w:left w:val="single" w:color="9BA9C4" w:sz="4"/>
          <w:bottom w:val="single" w:color="9BA9C4" w:sz="4"/>
          <w:right w:val="single" w:color="9BA9C4" w:sz="4"/>
          <w:insideH w:val="single" w:color="9BA9C4" w:sz="4"/>
          <w:insideV w:val="single" w:color="9BA9C4" w:sz="4"/>
        </w:tblBorders>
      </w:tblPr>
      <w:tblGrid>
        <w:gridCol w:w="3560"/>
        <w:gridCol w:w="2900"/>
        <w:gridCol w:w="2900"/>
      </w:tblGrid>
      <w:tr>
        <w:trPr>
          <w:tblHeader/>
        </w:trPr>
        <w:tc>
          <w:tcPr>
            <w:tcW w:type="dxa" w:w="3560"/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Metric</w:t>
            </w:r>
          </w:p>
        </w:tc>
        <w:tc>
          <w:tcPr>
            <w:tcW w:type="dxa" w:w="2900"/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PPO (unconstrained)</w:t>
            </w:r>
          </w:p>
        </w:tc>
        <w:tc>
          <w:tcPr>
            <w:tcW w:type="dxa" w:w="2900"/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cPPO (constrained)</w:t>
            </w:r>
          </w:p>
        </w:tc>
      </w:tr>
      <w:tr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Success rate (%)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Final mean reward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166.3</w:t>
            </w:r>
          </w:p>
        </w:tc>
      </w:tr>
      <w:tr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Mean episodic cost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2.24</w:t>
            </w:r>
          </w:p>
        </w:tc>
      </w:tr>
      <w:tr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Cost λ (final)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0.0</w:t>
            </w:r>
          </w:p>
        </w:tc>
      </w:tr>
      <w:tr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Singularity violation rate (%)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6.65</w:t>
            </w:r>
          </w:p>
        </w:tc>
      </w:tr>
      <w:tr>
        <w:tc>
          <w:tcPr>
            <w:tcW w:type="dxa" w:w="3560"/>
            <w:shd w:fill="EAEF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8"/>
                <w:szCs w:val="28"/>
              </w:rPr>
              <w:t xml:space="preserve">Joint-limit violation rate (%) †</w:t>
            </w:r>
          </w:p>
        </w:tc>
        <w:tc>
          <w:tcPr>
            <w:tcW w:type="dxa" w:w="2900"/>
            <w:shd w:fill="EAEF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W w:type="dxa" w:w="2900"/>
            <w:shd w:fill="EAEF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</w:tr>
      <w:tr>
        <w:tc>
          <w:tcPr>
            <w:tcW w:type="dxa" w:w="3560"/>
            <w:shd w:fill="EAEF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8"/>
                <w:szCs w:val="28"/>
              </w:rPr>
              <w:t xml:space="preserve">Collision violation rate (%) †</w:t>
            </w:r>
          </w:p>
        </w:tc>
        <w:tc>
          <w:tcPr>
            <w:tcW w:type="dxa" w:w="2900"/>
            <w:shd w:fill="EAEF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W w:type="dxa" w:w="2900"/>
            <w:shd w:fill="EAEF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</w:tr>
    </w:tbl>
    <w:p>
      <w:pPr>
        <w:spacing w:after="0" w:before="2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cPPO Lagrangian dynamics (1500 iters, num_envs=4096): mean episodic cost peaked ≈ 80.2 before the constraint drove it to 2.24 — well under the cost_limit = 25 budget; cost λ rose to a 16.7 peak (cap 100, never railed) then relaxed to 0 once cost fell under budget; and the singularity-violation rate fell from a 51.7% peak to 6.65% (below the ~20% unconstrained baseline). PPO column to be filled from the matched unconstrained run.</w:t>
      </w:r>
    </w:p>
    <w:p>
      <w:pPr>
        <w:spacing w:after="0" w:before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† Monitored-but-satisfied constraints (inactive by construction in this tabletop workspace: baseline joint-limit clearance ≥ 1.39 rad, link height ≥ 0.125 m). Reported for honesty; expected ≈ 0 for both agents. Delete these two rows if not needed.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2026-07-19T07:02:49.084Z</dcterms:created>
  <dcterms:modified xsi:type="dcterms:W3CDTF">2026-07-19T07:02:49.084Z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