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171</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2020-05-03</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Navoiy SHAHAR Xalq banki</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10000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171</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2020-05-03</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1000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