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b/>
          <w:color w:val="102C57"/>
          <w:sz w:val="48"/>
        </w:rPr>
        <w:t>iCar AI Car Valuation System</w:t>
      </w:r>
    </w:p>
    <w:p>
      <w:pPr>
        <w:spacing w:before="0" w:after="360"/>
      </w:pPr>
      <w:r>
        <w:rPr>
          <w:i/>
          <w:color w:val="646E78"/>
          <w:sz w:val="24"/>
        </w:rPr>
        <w:t>Executive Summary &amp; Operational Decision Flow</w:t>
      </w:r>
    </w:p>
    <w:p>
      <w:pPr>
        <w:keepNext/>
        <w:spacing w:before="320" w:after="120"/>
      </w:pPr>
      <w:r>
        <w:rPr>
          <w:b/>
          <w:color w:val="102C57"/>
          <w:sz w:val="32"/>
        </w:rPr>
        <w:t>1. Executive Overview &amp; Workflow</w:t>
      </w:r>
    </w:p>
    <w:p>
      <w:pPr>
        <w:spacing w:before="0" w:after="120" w:line="276" w:lineRule="auto"/>
      </w:pPr>
      <w:r>
        <w:rPr>
          <w:i w:val="0"/>
          <w:color w:val="282828"/>
        </w:rPr>
        <w:t>The iCar AI Valuation Engine automatically estimates real-time car prices by searching active live auto marketplaces, analyzing vehicle specifications, and applying regional valuation rules. It calculates two distinct price ranges for every vehicle:</w:t>
      </w:r>
    </w:p>
    <w:p>
      <w:pPr>
        <w:pStyle w:val="ListBullet"/>
        <w:spacing w:before="0" w:after="80" w:line="276" w:lineRule="auto"/>
      </w:pPr>
      <w:r>
        <w:rPr>
          <w:b/>
          <w:color w:val="282828"/>
        </w:rPr>
        <w:t xml:space="preserve">Market Price Range: </w:t>
      </w:r>
      <w:r>
        <w:rPr>
          <w:color w:val="282828"/>
        </w:rPr>
        <w:t xml:space="preserve"> Retail asking price range for buyers and sellers based on current market listings.</w:t>
      </w:r>
    </w:p>
    <w:p>
      <w:pPr>
        <w:pStyle w:val="ListBullet"/>
        <w:spacing w:before="0" w:after="80" w:line="276" w:lineRule="auto"/>
      </w:pPr>
      <w:r>
        <w:rPr>
          <w:b/>
          <w:color w:val="282828"/>
        </w:rPr>
        <w:t xml:space="preserve">Dealer Buy Price Range: </w:t>
      </w:r>
      <w:r>
        <w:rPr>
          <w:color w:val="282828"/>
        </w:rPr>
        <w:t xml:space="preserve"> Recommended maximum trade-in/purchase price for dealers, incorporating profit margins, holding costs, and reconditioning risks.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02C57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b/>
                <w:color w:val="102C57"/>
                <w:sz w:val="22"/>
              </w:rPr>
              <w:t>📌 AUTOMATED PRE-VALIDATION</w:t>
              <w:br/>
            </w:r>
            <w:r>
              <w:rPr>
                <w:color w:val="282828"/>
                <w:sz w:val="21"/>
              </w:rPr>
              <w:t>Before running AI search models, the system validates the vehicle's make, model, variant, and production years. Invalid combinations (e.g., non-existent model years) are blocked immediately to protect accuracy and save compute resources.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b/>
          <w:color w:val="102C57"/>
          <w:sz w:val="32"/>
        </w:rPr>
        <w:t>2. Core Valuation Rules</w:t>
      </w:r>
    </w:p>
    <w:p>
      <w:pPr>
        <w:spacing w:before="0" w:after="120" w:line="276" w:lineRule="auto"/>
      </w:pPr>
      <w:r>
        <w:rPr>
          <w:i w:val="0"/>
          <w:color w:val="282828"/>
        </w:rPr>
        <w:t>The AI follows strict guidelines to ensure valuations remain realistic, reliable, and grounded in active market data:</w:t>
      </w:r>
    </w:p>
    <w:p>
      <w:pPr>
        <w:keepNext/>
        <w:spacing w:before="240" w:after="80"/>
      </w:pPr>
      <w:r>
        <w:rPr>
          <w:b/>
          <w:color w:val="3565A9"/>
          <w:sz w:val="26"/>
        </w:rPr>
        <w:t>A. Real-Time Search &amp; Data Integrity</w:t>
      </w:r>
    </w:p>
    <w:p>
      <w:pPr>
        <w:pStyle w:val="ListBullet"/>
        <w:spacing w:before="0" w:after="80" w:line="276" w:lineRule="auto"/>
      </w:pPr>
      <w:r>
        <w:rPr>
          <w:color w:val="282828"/>
        </w:rPr>
        <w:t>The AI never relies solely on static memory. Every valuation triggers active searches across verified marketplace domains (e.g., Dubizzle, OLX, Mobile.de, AutoScout24).</w:t>
      </w:r>
    </w:p>
    <w:p>
      <w:pPr>
        <w:pStyle w:val="ListBullet"/>
        <w:spacing w:before="0" w:after="80" w:line="276" w:lineRule="auto"/>
      </w:pPr>
      <w:r>
        <w:rPr>
          <w:color w:val="282828"/>
        </w:rPr>
        <w:t>Only individual verified car listings are used as price anchors. Search result aggregators or generic pricing guides are rejected.</w:t>
      </w:r>
    </w:p>
    <w:p>
      <w:pPr>
        <w:keepNext/>
        <w:spacing w:before="240" w:after="80"/>
      </w:pPr>
      <w:r>
        <w:rPr>
          <w:b/>
          <w:color w:val="3565A9"/>
          <w:sz w:val="26"/>
        </w:rPr>
        <w:t>B. Strict Exclusion Criteria</w:t>
      </w:r>
    </w:p>
    <w:p>
      <w:pPr>
        <w:spacing w:before="0" w:after="120" w:line="276" w:lineRule="auto"/>
      </w:pPr>
      <w:r>
        <w:rPr>
          <w:i w:val="0"/>
          <w:color w:val="282828"/>
        </w:rPr>
        <w:t>To prevent distorted valuation ranges, the AI automatically identifies and excludes:</w:t>
      </w:r>
    </w:p>
    <w:p>
      <w:pPr>
        <w:pStyle w:val="ListBullet"/>
        <w:spacing w:before="0" w:after="80" w:line="276" w:lineRule="auto"/>
      </w:pPr>
      <w:r>
        <w:rPr>
          <w:color w:val="282828"/>
        </w:rPr>
        <w:t>Vehicles with salvage, flood, fire, or major structural accident history.</w:t>
      </w:r>
    </w:p>
    <w:p>
      <w:pPr>
        <w:pStyle w:val="ListBullet"/>
        <w:spacing w:before="0" w:after="80" w:line="276" w:lineRule="auto"/>
      </w:pPr>
      <w:r>
        <w:rPr>
          <w:color w:val="282828"/>
        </w:rPr>
        <w:t>Fake body-kit conversions (e.g., standard models styled to look like AMG/Brabus/Mansory).</w:t>
      </w:r>
    </w:p>
    <w:p>
      <w:pPr>
        <w:pStyle w:val="ListBullet"/>
        <w:spacing w:before="0" w:after="80" w:line="276" w:lineRule="auto"/>
      </w:pPr>
      <w:r>
        <w:rPr>
          <w:color w:val="282828"/>
        </w:rPr>
        <w:t>Urgent distress sales, unverified private listings with suspicious pricing, or extreme high/low outliers.</w:t>
      </w:r>
    </w:p>
    <w:p>
      <w:pPr>
        <w:keepNext/>
        <w:spacing w:before="240" w:after="80"/>
      </w:pPr>
      <w:r>
        <w:rPr>
          <w:b/>
          <w:color w:val="3565A9"/>
          <w:sz w:val="26"/>
        </w:rPr>
        <w:t>C. Condition &amp; Mileage Adjustments</w:t>
      </w:r>
    </w:p>
    <w:p>
      <w:pPr>
        <w:pStyle w:val="ListBullet"/>
        <w:spacing w:before="0" w:after="80" w:line="276" w:lineRule="auto"/>
      </w:pPr>
      <w:r>
        <w:rPr>
          <w:b/>
          <w:color w:val="282828"/>
        </w:rPr>
        <w:t xml:space="preserve">Brand-New Vehicles: </w:t>
      </w:r>
      <w:r>
        <w:rPr>
          <w:color w:val="282828"/>
        </w:rPr>
        <w:t>Matches 0 km / brand-new cars with 0–5,000 km listings before comparing with older units.</w:t>
      </w:r>
    </w:p>
    <w:p>
      <w:pPr>
        <w:pStyle w:val="ListBullet"/>
        <w:spacing w:before="0" w:after="80" w:line="276" w:lineRule="auto"/>
      </w:pPr>
      <w:r>
        <w:rPr>
          <w:b/>
          <w:color w:val="282828"/>
        </w:rPr>
        <w:t xml:space="preserve">Mileage Scaling: </w:t>
      </w:r>
      <w:r>
        <w:rPr>
          <w:color w:val="282828"/>
        </w:rPr>
        <w:t>Applies moderate, non-linear adjustments for mileage. High-end luxury/performance cars (e.g., Range Rover SVR, AMG, Porsche) retain baseline value and are not over-penalized solely for moderate mileage.</w:t>
      </w:r>
    </w:p>
    <w:p>
      <w:pPr>
        <w:pStyle w:val="ListBullet"/>
        <w:spacing w:before="0" w:after="80" w:line="276" w:lineRule="auto"/>
      </w:pPr>
      <w:r>
        <w:rPr>
          <w:b/>
          <w:color w:val="282828"/>
        </w:rPr>
        <w:t xml:space="preserve">Source &amp; Title Risk: </w:t>
      </w:r>
      <w:r>
        <w:rPr>
          <w:color w:val="282828"/>
        </w:rPr>
        <w:t>Applies conservative price buffers (3–7%) when import origin is vague, up to 12–25% for documented damage history, and 0% penalty for official agency/company cars with local warranty.</w:t>
      </w:r>
    </w:p>
    <w:p>
      <w:pPr>
        <w:keepNext/>
        <w:spacing w:before="320" w:after="120"/>
      </w:pPr>
      <w:r>
        <w:rPr>
          <w:b/>
          <w:color w:val="102C57"/>
          <w:sz w:val="32"/>
        </w:rPr>
        <w:t>3. Valuation Fallback Hierarchy</w:t>
      </w:r>
    </w:p>
    <w:p>
      <w:pPr>
        <w:spacing w:before="0" w:after="120" w:line="276" w:lineRule="auto"/>
      </w:pPr>
      <w:r>
        <w:rPr>
          <w:i w:val="0"/>
          <w:color w:val="282828"/>
        </w:rPr>
        <w:t>When exact local market comparables are unavailable, the AI automatically degrades through a 5-tier fallback structure so it always delivers an audit-backed valuation: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8" w:space="0" w:color="102C57"/>
          <w:insideH w:val="single" w:sz="4" w:space="0" w:color="CCCCCC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02C57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Tier Level</w:t>
            </w:r>
          </w:p>
        </w:tc>
        <w:tc>
          <w:tcPr>
            <w:tcW w:type="dxa" w:w="3120"/>
            <w:shd w:fill="102C57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Valuation Strategy &amp; Description</w:t>
            </w:r>
          </w:p>
        </w:tc>
        <w:tc>
          <w:tcPr>
            <w:tcW w:type="dxa" w:w="3120"/>
            <w:shd w:fill="102C57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Confidence Level</w:t>
            </w:r>
          </w:p>
        </w:tc>
      </w:tr>
      <w:tr>
        <w:tc>
          <w:tcPr>
            <w:tcW w:type="dxa" w:w="3120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color w:val="282828"/>
                <w:sz w:val="19"/>
              </w:rPr>
              <w:t>Level 1</w:t>
            </w:r>
          </w:p>
        </w:tc>
        <w:tc>
          <w:tcPr>
            <w:tcW w:type="dxa" w:w="3120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color w:val="282828"/>
                <w:sz w:val="19"/>
              </w:rPr>
              <w:t>Exact Local Match</w:t>
              <w:br/>
              <w:t>Identical make, model, variant, year, and close mileage band in local market.</w:t>
            </w:r>
          </w:p>
        </w:tc>
        <w:tc>
          <w:tcPr>
            <w:tcW w:type="dxa" w:w="3120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color w:val="282828"/>
                <w:sz w:val="19"/>
              </w:rPr>
              <w:t>High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color w:val="282828"/>
                <w:sz w:val="19"/>
              </w:rPr>
              <w:t>Level 2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color w:val="282828"/>
                <w:sz w:val="19"/>
              </w:rPr>
              <w:t>Near-Exact Local Match</w:t>
              <w:br/>
              <w:t>Same model and trim with minor year (+/- 1 year) or mileage band difference.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color w:val="282828"/>
                <w:sz w:val="19"/>
              </w:rPr>
              <w:t>High / Medium</w:t>
            </w:r>
          </w:p>
        </w:tc>
      </w:tr>
      <w:tr>
        <w:tc>
          <w:tcPr>
            <w:tcW w:type="dxa" w:w="3120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color w:val="282828"/>
                <w:sz w:val="19"/>
              </w:rPr>
              <w:t>Level 3</w:t>
            </w:r>
          </w:p>
        </w:tc>
        <w:tc>
          <w:tcPr>
            <w:tcW w:type="dxa" w:w="3120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color w:val="282828"/>
                <w:sz w:val="19"/>
              </w:rPr>
              <w:t>Broader Local Segment</w:t>
              <w:br/>
              <w:t>Same vehicle family adjusted for year/mileage trends when exact trim listings are sparse.</w:t>
            </w:r>
          </w:p>
        </w:tc>
        <w:tc>
          <w:tcPr>
            <w:tcW w:type="dxa" w:w="3120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color w:val="282828"/>
                <w:sz w:val="19"/>
              </w:rPr>
              <w:t>Medium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color w:val="282828"/>
                <w:sz w:val="19"/>
              </w:rPr>
              <w:t>Level 4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color w:val="282828"/>
                <w:sz w:val="19"/>
              </w:rPr>
              <w:t>International Source Market Fallback</w:t>
              <w:br/>
              <w:t>Searches major regional export hubs (UAE/Europe), applies shipping freight and exact official import taxes/customs.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color w:val="282828"/>
                <w:sz w:val="19"/>
              </w:rPr>
              <w:t>Medium / Advisory</w:t>
            </w:r>
          </w:p>
        </w:tc>
      </w:tr>
      <w:tr>
        <w:tc>
          <w:tcPr>
            <w:tcW w:type="dxa" w:w="3120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color w:val="282828"/>
                <w:sz w:val="19"/>
              </w:rPr>
              <w:t>Level 5</w:t>
            </w:r>
          </w:p>
        </w:tc>
        <w:tc>
          <w:tcPr>
            <w:tcW w:type="dxa" w:w="3120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color w:val="282828"/>
                <w:sz w:val="19"/>
              </w:rPr>
              <w:t>Landed-Cost Benchmark Fallback</w:t>
              <w:br/>
              <w:t>Rule-based import benchmark applied when local listings are missing; returns clear audit warnings.</w:t>
            </w:r>
          </w:p>
        </w:tc>
        <w:tc>
          <w:tcPr>
            <w:tcW w:type="dxa" w:w="3120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color w:val="282828"/>
                <w:sz w:val="19"/>
              </w:rPr>
              <w:t>Advisory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b/>
          <w:color w:val="102C57"/>
          <w:sz w:val="32"/>
        </w:rPr>
        <w:t>4. Safety Guardrails &amp; Sanity Checks</w:t>
      </w:r>
    </w:p>
    <w:p>
      <w:pPr>
        <w:spacing w:before="0" w:after="120" w:line="276" w:lineRule="auto"/>
      </w:pPr>
      <w:r>
        <w:rPr>
          <w:i w:val="0"/>
          <w:color w:val="282828"/>
        </w:rPr>
        <w:t>After the AI generates an initial price recommendation, deterministic backend code evaluates the result against guardrail filters before presenting it to the user:</w:t>
      </w:r>
    </w:p>
    <w:p>
      <w:pPr>
        <w:pStyle w:val="ListBullet"/>
        <w:spacing w:before="0" w:after="80" w:line="276" w:lineRule="auto"/>
      </w:pPr>
      <w:r>
        <w:rPr>
          <w:b/>
          <w:color w:val="282828"/>
        </w:rPr>
        <w:t xml:space="preserve">Local Cluster Cap: </w:t>
      </w:r>
      <w:r>
        <w:rPr>
          <w:color w:val="282828"/>
        </w:rPr>
        <w:t>Prevents a single inflated or outdated asking price from pulling up the market when multiple local listings form a tight cluster.</w:t>
      </w:r>
    </w:p>
    <w:p>
      <w:pPr>
        <w:pStyle w:val="ListBullet"/>
        <w:spacing w:before="0" w:after="80" w:line="276" w:lineRule="auto"/>
      </w:pPr>
      <w:r>
        <w:rPr>
          <w:b/>
          <w:color w:val="282828"/>
        </w:rPr>
        <w:t xml:space="preserve">Direct-Anchor Sanity Clamp: </w:t>
      </w:r>
      <w:r>
        <w:rPr>
          <w:color w:val="282828"/>
        </w:rPr>
        <w:t>For clean, high-value luxury cars, ensures the AI cannot price far below a verified local anchor purely due to mileage.</w:t>
      </w:r>
    </w:p>
    <w:p>
      <w:pPr>
        <w:pStyle w:val="ListBullet"/>
        <w:spacing w:before="0" w:after="80" w:line="276" w:lineRule="auto"/>
      </w:pPr>
      <w:r>
        <w:rPr>
          <w:b/>
          <w:color w:val="282828"/>
        </w:rPr>
        <w:t xml:space="preserve">Cross-Source Parity Guard: </w:t>
      </w:r>
      <w:r>
        <w:rPr>
          <w:color w:val="282828"/>
        </w:rPr>
        <w:t>Guarantees that lower-spec or non-warranted import origin vehicles (e.g. U.S. spec) are never priced higher than official agency / company cars.</w:t>
      </w:r>
    </w:p>
    <w:p>
      <w:pPr>
        <w:pStyle w:val="ListBullet"/>
        <w:spacing w:before="0" w:after="80" w:line="276" w:lineRule="auto"/>
      </w:pPr>
      <w:r>
        <w:rPr>
          <w:b/>
          <w:color w:val="282828"/>
        </w:rPr>
        <w:t xml:space="preserve">Specialized Model Guardrails: </w:t>
      </w:r>
      <w:r>
        <w:rPr>
          <w:color w:val="282828"/>
        </w:rPr>
        <w:t>Enforces realistic market floors for highly sensitive luxury and performance models (e.g. Range Rover Sport SVR, Mercedes C200, Audi R8).</w:t>
      </w:r>
    </w:p>
    <w:p>
      <w:pPr>
        <w:keepNext/>
        <w:spacing w:before="320" w:after="120"/>
      </w:pPr>
      <w:r>
        <w:rPr>
          <w:b/>
          <w:color w:val="102C57"/>
          <w:sz w:val="32"/>
        </w:rPr>
        <w:t>5. Summary of Decision Making</w:t>
      </w:r>
    </w:p>
    <w:p>
      <w:pPr>
        <w:spacing w:before="0" w:after="120" w:line="276" w:lineRule="auto"/>
      </w:pPr>
      <w:r>
        <w:rPr>
          <w:i w:val="0"/>
          <w:color w:val="282828"/>
        </w:rPr>
        <w:t>In summary, iCar's AI valuation engine combines real-time marketplace web search with deterministic tax/import rules and safety guardrails. This hybrid approach guarantees that every price estimate is realistic, fully auditable, and resilient against marketplace noise or missing data.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