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21819F">
      <w:pPr>
        <w:spacing w:after="40"/>
        <w:jc w:val="left"/>
        <w:rPr>
          <w:rFonts w:hint="default" w:ascii="Times New Roman" w:hAnsi="Times New Roman" w:cs="Times New Roman"/>
        </w:rPr>
      </w:pPr>
      <w:r>
        <w:rPr>
          <w:rFonts w:hint="default" w:ascii="Times New Roman" w:hAnsi="Times New Roman" w:cs="Times New Roman"/>
          <w:b/>
          <w:bCs/>
          <w:color w:val="1F2A44"/>
          <w:sz w:val="22"/>
          <w:szCs w:val="22"/>
        </w:rPr>
        <w:t>MARAQO</w:t>
      </w:r>
      <w:r>
        <w:rPr>
          <w:rFonts w:hint="default" w:ascii="Times New Roman" w:hAnsi="Times New Roman" w:cs="Times New Roman"/>
          <w:i/>
          <w:iCs/>
          <w:color w:val="595959"/>
          <w:sz w:val="20"/>
          <w:szCs w:val="20"/>
        </w:rPr>
        <w:t xml:space="preserve">  |  Marketing &amp; Brand Solutions</w:t>
      </w:r>
    </w:p>
    <w:p w14:paraId="7C77CF7A">
      <w:pPr>
        <w:pStyle w:val="15"/>
        <w:spacing w:after="200"/>
        <w:rPr>
          <w:rFonts w:hint="default" w:ascii="Times New Roman" w:hAnsi="Times New Roman" w:cs="Times New Roman"/>
        </w:rPr>
      </w:pPr>
      <w:r>
        <w:rPr>
          <w:rFonts w:hint="default" w:ascii="Times New Roman" w:hAnsi="Times New Roman" w:cs="Times New Roman"/>
          <w:b/>
          <w:bCs/>
          <w:color w:val="C0202E"/>
          <w:sz w:val="34"/>
          <w:szCs w:val="34"/>
        </w:rPr>
        <w:t xml:space="preserve">CONTENT INTAKE FORM </w:t>
      </w:r>
    </w:p>
    <w:p w14:paraId="16149996">
      <w:pPr>
        <w:spacing w:after="60"/>
        <w:rPr>
          <w:rFonts w:hint="default" w:ascii="Times New Roman" w:hAnsi="Times New Roman" w:cs="Times New Roman"/>
        </w:rPr>
      </w:pPr>
      <w:r>
        <w:rPr>
          <w:rFonts w:hint="default" w:ascii="Times New Roman" w:hAnsi="Times New Roman" w:cs="Times New Roman"/>
          <w:b/>
          <w:bCs/>
        </w:rPr>
        <w:t>Prepared For: Capwise Solution BD</w:t>
      </w:r>
    </w:p>
    <w:p w14:paraId="3533DD0B">
      <w:pPr>
        <w:spacing w:after="60"/>
      </w:pPr>
      <w:r>
        <w:rPr>
          <w:rFonts w:hint="default" w:ascii="Times New Roman" w:hAnsi="Times New Roman" w:cs="Times New Roman"/>
          <w:b/>
          <w:bCs/>
        </w:rPr>
        <w:t>Purpose: Website Content Collection Sheet</w:t>
      </w:r>
    </w:p>
    <w:p w14:paraId="67994EDC">
      <w:pPr>
        <w:spacing w:after="60"/>
      </w:pPr>
      <w:r>
        <w:rPr>
          <w:i/>
          <w:iCs/>
          <w:color w:val="595959"/>
          <w:sz w:val="20"/>
          <w:szCs w:val="20"/>
        </w:rPr>
        <w:t>Note: This form has been filled in as a first working draft by Capwise's marketing consultant (MARAQO), based on Capwise's company profile, service brochures, and team documentation supplied to date. Fields where no source material was provided are clearly flagged in italics as "Needs Client Confirmation" — Capwise should review, edit, and approve all content before it goes live on the website.</w:t>
      </w:r>
    </w:p>
    <w:p w14:paraId="74F2DB3D">
      <w:pPr>
        <w:pStyle w:val="2"/>
        <w:pBdr>
          <w:bottom w:val="single" w:color="C0202E" w:sz="6" w:space="4"/>
        </w:pBdr>
        <w:spacing w:before="400" w:after="150"/>
      </w:pPr>
      <w:r>
        <w:rPr>
          <w:rFonts w:hint="default" w:ascii="Times New Roman" w:hAnsi="Times New Roman" w:cs="Times New Roman"/>
          <w:b/>
          <w:bCs/>
          <w:color w:val="1F2A44"/>
          <w:sz w:val="26"/>
          <w:szCs w:val="26"/>
        </w:rPr>
        <w:t>1. Home Section</w:t>
      </w:r>
    </w:p>
    <w:tbl>
      <w:tblPr>
        <w:tblStyle w:val="9"/>
        <w:tblW w:w="9639"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 w:type="dxa"/>
          <w:bottom w:w="0" w:type="dxa"/>
          <w:right w:w="10" w:type="dxa"/>
        </w:tblCellMar>
      </w:tblPr>
      <w:tblGrid>
        <w:gridCol w:w="3000"/>
        <w:gridCol w:w="6639"/>
      </w:tblGrid>
      <w:tr w14:paraId="6015773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blHeader/>
        </w:trPr>
        <w:tc>
          <w:tcPr>
            <w:tcW w:w="3000" w:type="dxa"/>
            <w:shd w:val="clear" w:color="auto" w:fill="1F2A44"/>
            <w:tcMar>
              <w:top w:w="100" w:type="dxa"/>
              <w:left w:w="120" w:type="dxa"/>
              <w:bottom w:w="100" w:type="dxa"/>
              <w:right w:w="120" w:type="dxa"/>
            </w:tcMar>
          </w:tcPr>
          <w:p w14:paraId="51B3CF1E">
            <w:pPr>
              <w:rPr>
                <w:rFonts w:hint="default" w:ascii="Times New Roman" w:hAnsi="Times New Roman" w:cs="Times New Roman"/>
              </w:rPr>
            </w:pPr>
            <w:r>
              <w:rPr>
                <w:rFonts w:hint="default" w:ascii="Times New Roman" w:hAnsi="Times New Roman" w:cs="Times New Roman"/>
                <w:b/>
                <w:bCs/>
                <w:color w:val="FFFFFF"/>
              </w:rPr>
              <w:t>Content Element</w:t>
            </w:r>
          </w:p>
        </w:tc>
        <w:tc>
          <w:tcPr>
            <w:tcW w:w="6639" w:type="dxa"/>
            <w:shd w:val="clear" w:color="auto" w:fill="1F2A44"/>
            <w:tcMar>
              <w:top w:w="100" w:type="dxa"/>
              <w:left w:w="120" w:type="dxa"/>
              <w:bottom w:w="100" w:type="dxa"/>
              <w:right w:w="120" w:type="dxa"/>
            </w:tcMar>
          </w:tcPr>
          <w:p w14:paraId="76EA1A26">
            <w:pPr>
              <w:rPr>
                <w:rFonts w:hint="default" w:ascii="Times New Roman" w:hAnsi="Times New Roman" w:cs="Times New Roman"/>
              </w:rPr>
            </w:pPr>
            <w:r>
              <w:rPr>
                <w:rFonts w:hint="default" w:ascii="Times New Roman" w:hAnsi="Times New Roman" w:cs="Times New Roman"/>
                <w:b/>
                <w:bCs/>
                <w:color w:val="FFFFFF"/>
              </w:rPr>
              <w:t>Client Input (Filled by Capwise)</w:t>
            </w:r>
          </w:p>
        </w:tc>
      </w:tr>
      <w:tr w14:paraId="61EB811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c>
          <w:tcPr>
            <w:tcW w:w="3000" w:type="dxa"/>
            <w:shd w:val="clear" w:color="auto" w:fill="FFFFFF"/>
            <w:tcMar>
              <w:top w:w="100" w:type="dxa"/>
              <w:left w:w="120" w:type="dxa"/>
              <w:bottom w:w="100" w:type="dxa"/>
              <w:right w:w="120" w:type="dxa"/>
            </w:tcMar>
          </w:tcPr>
          <w:p w14:paraId="074F82C7">
            <w:pPr>
              <w:rPr>
                <w:rFonts w:hint="default" w:ascii="Times New Roman" w:hAnsi="Times New Roman" w:cs="Times New Roman"/>
              </w:rPr>
            </w:pPr>
            <w:r>
              <w:rPr>
                <w:rFonts w:hint="default" w:ascii="Times New Roman" w:hAnsi="Times New Roman" w:cs="Times New Roman"/>
                <w:b/>
                <w:bCs/>
              </w:rPr>
              <w:t>Tagline + Core Value Proposition</w:t>
            </w:r>
          </w:p>
        </w:tc>
        <w:tc>
          <w:tcPr>
            <w:tcW w:w="6639" w:type="dxa"/>
            <w:shd w:val="clear" w:color="auto" w:fill="FFFFFF"/>
            <w:tcMar>
              <w:top w:w="100" w:type="dxa"/>
              <w:left w:w="120" w:type="dxa"/>
              <w:bottom w:w="100" w:type="dxa"/>
              <w:right w:w="120" w:type="dxa"/>
            </w:tcMar>
          </w:tcPr>
          <w:p w14:paraId="69D6BF5F">
            <w:pPr>
              <w:spacing w:after="60"/>
              <w:rPr>
                <w:rFonts w:hint="default" w:ascii="Times New Roman" w:hAnsi="Times New Roman" w:cs="Times New Roman"/>
              </w:rPr>
            </w:pPr>
            <w:r>
              <w:rPr>
                <w:rFonts w:hint="default" w:ascii="Times New Roman" w:hAnsi="Times New Roman" w:cs="Times New Roman"/>
              </w:rPr>
              <w:t>Wise Choice for Your Finance — Your One-Stop Partner for Business Compliance, Tax, and Financial Advisory in Bangladesh.</w:t>
            </w:r>
          </w:p>
        </w:tc>
      </w:tr>
      <w:tr w14:paraId="6FB14FF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c>
          <w:tcPr>
            <w:tcW w:w="3000" w:type="dxa"/>
            <w:shd w:val="clear" w:color="auto" w:fill="F2F2F2"/>
            <w:tcMar>
              <w:top w:w="100" w:type="dxa"/>
              <w:left w:w="120" w:type="dxa"/>
              <w:bottom w:w="100" w:type="dxa"/>
              <w:right w:w="120" w:type="dxa"/>
            </w:tcMar>
          </w:tcPr>
          <w:p w14:paraId="4C3771F7">
            <w:pPr>
              <w:rPr>
                <w:rFonts w:hint="default" w:ascii="Times New Roman" w:hAnsi="Times New Roman" w:cs="Times New Roman"/>
              </w:rPr>
            </w:pPr>
            <w:r>
              <w:rPr>
                <w:rFonts w:hint="default" w:ascii="Times New Roman" w:hAnsi="Times New Roman" w:cs="Times New Roman"/>
                <w:b/>
                <w:bCs/>
              </w:rPr>
              <w:t>Brief Intro to Capwise</w:t>
            </w:r>
          </w:p>
        </w:tc>
        <w:tc>
          <w:tcPr>
            <w:tcW w:w="6639" w:type="dxa"/>
            <w:shd w:val="clear" w:color="auto" w:fill="F2F2F2"/>
            <w:tcMar>
              <w:top w:w="100" w:type="dxa"/>
              <w:left w:w="120" w:type="dxa"/>
              <w:bottom w:w="100" w:type="dxa"/>
              <w:right w:w="120" w:type="dxa"/>
            </w:tcMar>
          </w:tcPr>
          <w:p w14:paraId="0FD74DD4">
            <w:pPr>
              <w:spacing w:after="60"/>
              <w:rPr>
                <w:rFonts w:hint="default" w:ascii="Times New Roman" w:hAnsi="Times New Roman" w:cs="Times New Roman"/>
              </w:rPr>
            </w:pPr>
            <w:r>
              <w:rPr>
                <w:rFonts w:hint="default" w:ascii="Times New Roman" w:hAnsi="Times New Roman" w:cs="Times New Roman"/>
              </w:rPr>
              <w:t>Capwise Solution is a specialized consultancy firm based in Dhaka, Bangladesh, founded to provide comprehensive, result-oriented financial, tax, and regulatory support to businesses of all sizes. Backed by experienced professionals, we deliver a one-stop suite of services that helps companies navigate the complex landscape of compliance and corporate governance in Bangladesh.</w:t>
            </w:r>
          </w:p>
        </w:tc>
      </w:tr>
      <w:tr w14:paraId="246F002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c>
          <w:tcPr>
            <w:tcW w:w="3000" w:type="dxa"/>
            <w:shd w:val="clear" w:color="auto" w:fill="FFFFFF"/>
            <w:tcMar>
              <w:top w:w="100" w:type="dxa"/>
              <w:left w:w="120" w:type="dxa"/>
              <w:bottom w:w="100" w:type="dxa"/>
              <w:right w:w="120" w:type="dxa"/>
            </w:tcMar>
          </w:tcPr>
          <w:p w14:paraId="12A4BC06">
            <w:pPr>
              <w:rPr>
                <w:rFonts w:hint="default" w:ascii="Times New Roman" w:hAnsi="Times New Roman" w:cs="Times New Roman"/>
              </w:rPr>
            </w:pPr>
            <w:r>
              <w:rPr>
                <w:rFonts w:hint="default" w:ascii="Times New Roman" w:hAnsi="Times New Roman" w:cs="Times New Roman"/>
                <w:b/>
                <w:bCs/>
              </w:rPr>
              <w:t>Why Capwise?</w:t>
            </w:r>
          </w:p>
        </w:tc>
        <w:tc>
          <w:tcPr>
            <w:tcW w:w="6639" w:type="dxa"/>
            <w:shd w:val="clear" w:color="auto" w:fill="FFFFFF"/>
            <w:tcMar>
              <w:top w:w="100" w:type="dxa"/>
              <w:left w:w="120" w:type="dxa"/>
              <w:bottom w:w="100" w:type="dxa"/>
              <w:right w:w="120" w:type="dxa"/>
            </w:tcMar>
          </w:tcPr>
          <w:p w14:paraId="0B5A64CE">
            <w:pPr>
              <w:spacing w:after="60"/>
              <w:rPr>
                <w:rFonts w:hint="default" w:ascii="Times New Roman" w:hAnsi="Times New Roman" w:cs="Times New Roman"/>
              </w:rPr>
            </w:pPr>
            <w:r>
              <w:rPr>
                <w:rFonts w:hint="default" w:ascii="Times New Roman" w:hAnsi="Times New Roman" w:cs="Times New Roman"/>
              </w:rPr>
              <w:t>Because compliance shouldn't slow your business down. Capwise brings together tax consultants, chartered accountants, and legal advisors under one roof — with direct, working relationships with NBR and RJSC officials — so you get accurate, on-time, and practical solutions instead of fragmented advice from multiple vendors.</w:t>
            </w:r>
          </w:p>
        </w:tc>
      </w:tr>
      <w:tr w14:paraId="7DF61DE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c>
          <w:tcPr>
            <w:tcW w:w="3000" w:type="dxa"/>
            <w:shd w:val="clear" w:color="auto" w:fill="F2F2F2"/>
            <w:tcMar>
              <w:top w:w="100" w:type="dxa"/>
              <w:left w:w="120" w:type="dxa"/>
              <w:bottom w:w="100" w:type="dxa"/>
              <w:right w:w="120" w:type="dxa"/>
            </w:tcMar>
          </w:tcPr>
          <w:p w14:paraId="3EE4C75F">
            <w:pPr>
              <w:rPr>
                <w:rFonts w:hint="default" w:ascii="Times New Roman" w:hAnsi="Times New Roman" w:cs="Times New Roman"/>
              </w:rPr>
            </w:pPr>
            <w:r>
              <w:rPr>
                <w:rFonts w:hint="default" w:ascii="Times New Roman" w:hAnsi="Times New Roman" w:cs="Times New Roman"/>
                <w:b/>
                <w:bCs/>
              </w:rPr>
              <w:t>Call to Action Banner Text</w:t>
            </w:r>
          </w:p>
        </w:tc>
        <w:tc>
          <w:tcPr>
            <w:tcW w:w="6639" w:type="dxa"/>
            <w:shd w:val="clear" w:color="auto" w:fill="F2F2F2"/>
            <w:tcMar>
              <w:top w:w="100" w:type="dxa"/>
              <w:left w:w="120" w:type="dxa"/>
              <w:bottom w:w="100" w:type="dxa"/>
              <w:right w:w="120" w:type="dxa"/>
            </w:tcMar>
          </w:tcPr>
          <w:p w14:paraId="4ABE0B31">
            <w:pPr>
              <w:spacing w:after="60"/>
              <w:rPr>
                <w:rFonts w:hint="default" w:ascii="Times New Roman" w:hAnsi="Times New Roman" w:cs="Times New Roman"/>
              </w:rPr>
            </w:pPr>
            <w:r>
              <w:rPr>
                <w:rFonts w:hint="default" w:ascii="Times New Roman" w:hAnsi="Times New Roman" w:cs="Times New Roman"/>
              </w:rPr>
              <w:t>"Book a Free Consultation" or "Talk to Our Compliance Experts Today"</w:t>
            </w:r>
          </w:p>
        </w:tc>
      </w:tr>
      <w:tr w14:paraId="594CCD9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c>
          <w:tcPr>
            <w:tcW w:w="3000" w:type="dxa"/>
            <w:shd w:val="clear" w:color="auto" w:fill="FFFFFF"/>
            <w:tcMar>
              <w:top w:w="100" w:type="dxa"/>
              <w:left w:w="120" w:type="dxa"/>
              <w:bottom w:w="100" w:type="dxa"/>
              <w:right w:w="120" w:type="dxa"/>
            </w:tcMar>
          </w:tcPr>
          <w:p w14:paraId="3DD55608">
            <w:pPr>
              <w:rPr>
                <w:rFonts w:hint="default" w:ascii="Times New Roman" w:hAnsi="Times New Roman" w:cs="Times New Roman"/>
              </w:rPr>
            </w:pPr>
            <w:r>
              <w:rPr>
                <w:rFonts w:hint="default" w:ascii="Times New Roman" w:hAnsi="Times New Roman" w:cs="Times New Roman"/>
                <w:b/>
                <w:bCs/>
              </w:rPr>
              <w:t>Trust Marker – Years of Experience</w:t>
            </w:r>
          </w:p>
        </w:tc>
        <w:tc>
          <w:tcPr>
            <w:tcW w:w="6639" w:type="dxa"/>
            <w:shd w:val="clear" w:color="auto" w:fill="FFFFFF"/>
            <w:tcMar>
              <w:top w:w="100" w:type="dxa"/>
              <w:left w:w="120" w:type="dxa"/>
              <w:bottom w:w="100" w:type="dxa"/>
              <w:right w:w="120" w:type="dxa"/>
            </w:tcMar>
          </w:tcPr>
          <w:p w14:paraId="2F42809F">
            <w:pPr>
              <w:spacing w:after="60"/>
              <w:rPr>
                <w:rFonts w:hint="default" w:ascii="Times New Roman" w:hAnsi="Times New Roman" w:cs="Times New Roman"/>
              </w:rPr>
            </w:pPr>
            <w:r>
              <w:rPr>
                <w:rFonts w:hint="default" w:ascii="Times New Roman" w:hAnsi="Times New Roman" w:cs="Times New Roman"/>
              </w:rPr>
              <w:t>15+ Years of Combined Leadership Experience in Tax, Audit &amp; Regulatory Advisory</w:t>
            </w:r>
          </w:p>
          <w:p w14:paraId="0B2EEE2D">
            <w:pPr>
              <w:spacing w:after="60"/>
              <w:rPr>
                <w:rFonts w:hint="default" w:ascii="Times New Roman" w:hAnsi="Times New Roman" w:cs="Times New Roman"/>
              </w:rPr>
            </w:pPr>
            <w:r>
              <w:rPr>
                <w:rFonts w:hint="default" w:ascii="Times New Roman" w:hAnsi="Times New Roman" w:cs="Times New Roman"/>
                <w:i/>
                <w:iCs/>
                <w:color w:val="595959"/>
                <w:sz w:val="20"/>
                <w:szCs w:val="20"/>
              </w:rPr>
              <w:t>Based on Shib Shanker Dey, FCA (15+ yrs) as senior-most team credential. Confirm firm's own founding year if a separate "years in business" figure is preferred.</w:t>
            </w:r>
          </w:p>
        </w:tc>
      </w:tr>
      <w:tr w14:paraId="345336E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c>
          <w:tcPr>
            <w:tcW w:w="3000" w:type="dxa"/>
            <w:shd w:val="clear" w:color="auto" w:fill="F2F2F2"/>
            <w:tcMar>
              <w:top w:w="100" w:type="dxa"/>
              <w:left w:w="120" w:type="dxa"/>
              <w:bottom w:w="100" w:type="dxa"/>
              <w:right w:w="120" w:type="dxa"/>
            </w:tcMar>
          </w:tcPr>
          <w:p w14:paraId="6FD19AF3">
            <w:pPr>
              <w:rPr>
                <w:rFonts w:hint="default" w:ascii="Times New Roman" w:hAnsi="Times New Roman" w:cs="Times New Roman"/>
              </w:rPr>
            </w:pPr>
            <w:r>
              <w:rPr>
                <w:rFonts w:hint="default" w:ascii="Times New Roman" w:hAnsi="Times New Roman" w:cs="Times New Roman"/>
                <w:b/>
                <w:bCs/>
              </w:rPr>
              <w:t>Trust Marker – Clients Served</w:t>
            </w:r>
          </w:p>
        </w:tc>
        <w:tc>
          <w:tcPr>
            <w:tcW w:w="6639" w:type="dxa"/>
            <w:shd w:val="clear" w:color="auto" w:fill="F2F2F2"/>
            <w:tcMar>
              <w:top w:w="100" w:type="dxa"/>
              <w:left w:w="120" w:type="dxa"/>
              <w:bottom w:w="100" w:type="dxa"/>
              <w:right w:w="120" w:type="dxa"/>
            </w:tcMar>
          </w:tcPr>
          <w:p w14:paraId="48EDF173">
            <w:pPr>
              <w:spacing w:after="60"/>
              <w:rPr>
                <w:rFonts w:hint="default" w:ascii="Times New Roman" w:hAnsi="Times New Roman" w:cs="Times New Roman"/>
              </w:rPr>
            </w:pPr>
            <w:r>
              <w:rPr>
                <w:rFonts w:hint="default" w:ascii="Times New Roman" w:hAnsi="Times New Roman" w:cs="Times New Roman"/>
                <w:i/>
                <w:iCs/>
                <w:color w:val="595959"/>
                <w:sz w:val="20"/>
                <w:szCs w:val="20"/>
              </w:rPr>
              <w:t>Needs Client Confirmation — no figure was provided in source material. Suggested placeholder until confirmed: "Trusted by growing businesses across Bangladesh." Once available, a number (e.g. "50+ Clients Served") will convert better than a general statement.</w:t>
            </w:r>
          </w:p>
        </w:tc>
      </w:tr>
    </w:tbl>
    <w:p w14:paraId="42B864D6">
      <w:pPr>
        <w:pStyle w:val="2"/>
        <w:pBdr>
          <w:bottom w:val="single" w:color="C0202E" w:sz="6" w:space="4"/>
        </w:pBdr>
        <w:spacing w:before="400" w:after="150"/>
      </w:pPr>
      <w:r>
        <w:rPr>
          <w:b/>
          <w:bCs/>
          <w:color w:val="1F2A44"/>
          <w:sz w:val="26"/>
          <w:szCs w:val="26"/>
        </w:rPr>
        <w:t>2. About Us Section</w:t>
      </w:r>
    </w:p>
    <w:tbl>
      <w:tblPr>
        <w:tblStyle w:val="9"/>
        <w:tblW w:w="9639"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 w:type="dxa"/>
          <w:bottom w:w="0" w:type="dxa"/>
          <w:right w:w="10" w:type="dxa"/>
        </w:tblCellMar>
      </w:tblPr>
      <w:tblGrid>
        <w:gridCol w:w="3000"/>
        <w:gridCol w:w="6639"/>
      </w:tblGrid>
      <w:tr w14:paraId="6AF11F7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blHeader/>
        </w:trPr>
        <w:tc>
          <w:tcPr>
            <w:tcW w:w="3000" w:type="dxa"/>
            <w:shd w:val="clear" w:color="auto" w:fill="1F2A44"/>
            <w:tcMar>
              <w:top w:w="100" w:type="dxa"/>
              <w:left w:w="120" w:type="dxa"/>
              <w:bottom w:w="100" w:type="dxa"/>
              <w:right w:w="120" w:type="dxa"/>
            </w:tcMar>
          </w:tcPr>
          <w:p w14:paraId="4B2EDA13">
            <w:pPr>
              <w:rPr>
                <w:rFonts w:hint="default" w:ascii="Times New Roman" w:hAnsi="Times New Roman" w:cs="Times New Roman"/>
              </w:rPr>
            </w:pPr>
            <w:r>
              <w:rPr>
                <w:rFonts w:hint="default" w:ascii="Times New Roman" w:hAnsi="Times New Roman" w:cs="Times New Roman"/>
                <w:b/>
                <w:bCs/>
                <w:color w:val="FFFFFF"/>
              </w:rPr>
              <w:t>Content Element</w:t>
            </w:r>
          </w:p>
        </w:tc>
        <w:tc>
          <w:tcPr>
            <w:tcW w:w="6639" w:type="dxa"/>
            <w:shd w:val="clear" w:color="auto" w:fill="1F2A44"/>
            <w:tcMar>
              <w:top w:w="100" w:type="dxa"/>
              <w:left w:w="120" w:type="dxa"/>
              <w:bottom w:w="100" w:type="dxa"/>
              <w:right w:w="120" w:type="dxa"/>
            </w:tcMar>
          </w:tcPr>
          <w:p w14:paraId="0B390B55">
            <w:pPr>
              <w:rPr>
                <w:rFonts w:hint="default" w:ascii="Times New Roman" w:hAnsi="Times New Roman" w:cs="Times New Roman"/>
              </w:rPr>
            </w:pPr>
            <w:r>
              <w:rPr>
                <w:rFonts w:hint="default" w:ascii="Times New Roman" w:hAnsi="Times New Roman" w:cs="Times New Roman"/>
                <w:b/>
                <w:bCs/>
                <w:color w:val="FFFFFF"/>
              </w:rPr>
              <w:t>Client Input (Filled by Capwise)</w:t>
            </w:r>
          </w:p>
        </w:tc>
      </w:tr>
      <w:tr w14:paraId="263C627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c>
          <w:tcPr>
            <w:tcW w:w="3000" w:type="dxa"/>
            <w:shd w:val="clear" w:color="auto" w:fill="FFFFFF"/>
            <w:tcMar>
              <w:top w:w="100" w:type="dxa"/>
              <w:left w:w="120" w:type="dxa"/>
              <w:bottom w:w="100" w:type="dxa"/>
              <w:right w:w="120" w:type="dxa"/>
            </w:tcMar>
          </w:tcPr>
          <w:p w14:paraId="4BCBD754">
            <w:pPr>
              <w:rPr>
                <w:rFonts w:hint="default" w:ascii="Times New Roman" w:hAnsi="Times New Roman" w:cs="Times New Roman"/>
              </w:rPr>
            </w:pPr>
            <w:r>
              <w:rPr>
                <w:rFonts w:hint="default" w:ascii="Times New Roman" w:hAnsi="Times New Roman" w:cs="Times New Roman"/>
                <w:b/>
                <w:bCs/>
              </w:rPr>
              <w:t>Mission &amp; Vision</w:t>
            </w:r>
          </w:p>
        </w:tc>
        <w:tc>
          <w:tcPr>
            <w:tcW w:w="6639" w:type="dxa"/>
            <w:shd w:val="clear" w:color="auto" w:fill="FFFFFF"/>
            <w:tcMar>
              <w:top w:w="100" w:type="dxa"/>
              <w:left w:w="120" w:type="dxa"/>
              <w:bottom w:w="100" w:type="dxa"/>
              <w:right w:w="120" w:type="dxa"/>
            </w:tcMar>
          </w:tcPr>
          <w:p w14:paraId="02CD4EBF">
            <w:pPr>
              <w:spacing w:after="60"/>
              <w:rPr>
                <w:rFonts w:hint="default" w:ascii="Times New Roman" w:hAnsi="Times New Roman" w:cs="Times New Roman"/>
              </w:rPr>
            </w:pPr>
            <w:r>
              <w:rPr>
                <w:rFonts w:hint="default" w:ascii="Times New Roman" w:hAnsi="Times New Roman" w:cs="Times New Roman"/>
                <w:b/>
                <w:bCs/>
              </w:rPr>
              <w:t xml:space="preserve">Mission: </w:t>
            </w:r>
            <w:r>
              <w:rPr>
                <w:rFonts w:hint="default" w:ascii="Times New Roman" w:hAnsi="Times New Roman" w:cs="Times New Roman"/>
              </w:rPr>
              <w:t>To be every client's most reliable partner for financial, tax, legal, and regulatory compliance in Bangladesh — delivering accurate, timely, and practical solutions that let businesses focus on growth.</w:t>
            </w:r>
          </w:p>
          <w:p w14:paraId="3FAFC061">
            <w:pPr>
              <w:spacing w:after="60"/>
              <w:rPr>
                <w:rFonts w:hint="default" w:ascii="Times New Roman" w:hAnsi="Times New Roman" w:cs="Times New Roman"/>
              </w:rPr>
            </w:pPr>
            <w:r>
              <w:rPr>
                <w:rFonts w:hint="default" w:ascii="Times New Roman" w:hAnsi="Times New Roman" w:cs="Times New Roman"/>
                <w:b/>
                <w:bCs/>
              </w:rPr>
              <w:t xml:space="preserve">Vision: </w:t>
            </w:r>
            <w:r>
              <w:rPr>
                <w:rFonts w:hint="default" w:ascii="Times New Roman" w:hAnsi="Times New Roman" w:cs="Times New Roman"/>
              </w:rPr>
              <w:t>To become Bangladesh's leading one-stop business advisory firm, recognized for integrity, efficiency, and long-term client relationships.</w:t>
            </w:r>
          </w:p>
        </w:tc>
      </w:tr>
      <w:tr w14:paraId="4363EAE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c>
          <w:tcPr>
            <w:tcW w:w="3000" w:type="dxa"/>
            <w:shd w:val="clear" w:color="auto" w:fill="F2F2F2"/>
            <w:tcMar>
              <w:top w:w="100" w:type="dxa"/>
              <w:left w:w="120" w:type="dxa"/>
              <w:bottom w:w="100" w:type="dxa"/>
              <w:right w:w="120" w:type="dxa"/>
            </w:tcMar>
          </w:tcPr>
          <w:p w14:paraId="067BBD36">
            <w:pPr>
              <w:rPr>
                <w:rFonts w:hint="default" w:ascii="Times New Roman" w:hAnsi="Times New Roman" w:cs="Times New Roman"/>
              </w:rPr>
            </w:pPr>
            <w:r>
              <w:rPr>
                <w:rFonts w:hint="default" w:ascii="Times New Roman" w:hAnsi="Times New Roman" w:cs="Times New Roman"/>
                <w:b/>
                <w:bCs/>
              </w:rPr>
              <w:t>Our Approach / Philosophy</w:t>
            </w:r>
          </w:p>
        </w:tc>
        <w:tc>
          <w:tcPr>
            <w:tcW w:w="6639" w:type="dxa"/>
            <w:shd w:val="clear" w:color="auto" w:fill="F2F2F2"/>
            <w:tcMar>
              <w:top w:w="100" w:type="dxa"/>
              <w:left w:w="120" w:type="dxa"/>
              <w:bottom w:w="100" w:type="dxa"/>
              <w:right w:w="120" w:type="dxa"/>
            </w:tcMar>
          </w:tcPr>
          <w:p w14:paraId="2152D3D2">
            <w:pPr>
              <w:spacing w:after="60"/>
              <w:rPr>
                <w:rFonts w:hint="default" w:ascii="Times New Roman" w:hAnsi="Times New Roman" w:cs="Times New Roman"/>
              </w:rPr>
            </w:pPr>
            <w:r>
              <w:rPr>
                <w:rFonts w:hint="default" w:ascii="Times New Roman" w:hAnsi="Times New Roman" w:cs="Times New Roman"/>
              </w:rPr>
              <w:t>We are driven by a commitment to integrity, efficiency, and excellence. Our multidisciplinary team combines strong academic and industry backgrounds with practical, on-the-ground understanding of Bangladesh's business environment — translating complex regulation into clear, actionable steps. We build long-term relationships by offering tailored, responsive, and value-driven services rather than one-off transactions.</w:t>
            </w:r>
          </w:p>
        </w:tc>
      </w:tr>
      <w:tr w14:paraId="61F4F01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c>
          <w:tcPr>
            <w:tcW w:w="3000" w:type="dxa"/>
            <w:shd w:val="clear" w:color="auto" w:fill="FFFFFF"/>
            <w:tcMar>
              <w:top w:w="100" w:type="dxa"/>
              <w:left w:w="120" w:type="dxa"/>
              <w:bottom w:w="100" w:type="dxa"/>
              <w:right w:w="120" w:type="dxa"/>
            </w:tcMar>
          </w:tcPr>
          <w:p w14:paraId="0908E345">
            <w:pPr>
              <w:rPr>
                <w:rFonts w:hint="default" w:ascii="Times New Roman" w:hAnsi="Times New Roman" w:cs="Times New Roman"/>
              </w:rPr>
            </w:pPr>
            <w:r>
              <w:rPr>
                <w:rFonts w:hint="default" w:ascii="Times New Roman" w:hAnsi="Times New Roman" w:cs="Times New Roman"/>
                <w:b/>
                <w:bCs/>
              </w:rPr>
              <w:t>Leadership / Team Profiles (optional)</w:t>
            </w:r>
          </w:p>
        </w:tc>
        <w:tc>
          <w:tcPr>
            <w:tcW w:w="6639" w:type="dxa"/>
            <w:shd w:val="clear" w:color="auto" w:fill="FFFFFF"/>
            <w:tcMar>
              <w:top w:w="100" w:type="dxa"/>
              <w:left w:w="120" w:type="dxa"/>
              <w:bottom w:w="100" w:type="dxa"/>
              <w:right w:w="120" w:type="dxa"/>
            </w:tcMar>
          </w:tcPr>
          <w:p w14:paraId="57A91FA4">
            <w:pPr>
              <w:spacing w:after="60"/>
              <w:rPr>
                <w:rFonts w:hint="default" w:ascii="Times New Roman" w:hAnsi="Times New Roman" w:cs="Times New Roman"/>
              </w:rPr>
            </w:pPr>
            <w:r>
              <w:rPr>
                <w:rFonts w:hint="default" w:ascii="Times New Roman" w:hAnsi="Times New Roman" w:cs="Times New Roman"/>
                <w:b/>
                <w:bCs/>
              </w:rPr>
              <w:t xml:space="preserve">Fahim Khan Chowdhury — </w:t>
            </w:r>
            <w:r>
              <w:rPr>
                <w:rFonts w:hint="default" w:ascii="Times New Roman" w:hAnsi="Times New Roman" w:cs="Times New Roman"/>
              </w:rPr>
              <w:t>Consultant, Audit, VAT, Tax &amp; Regulatory Affairs. 8+ years' experience in corporate compliance, direct/indirect taxation, RJSC matters and business establishment; BBA, MBA, LLB, ITP (Appeared), CACC (ACNABIN), part-qualified ACCA; strong liaison with senior NBR officials.</w:t>
            </w:r>
          </w:p>
          <w:p w14:paraId="02242659">
            <w:pPr>
              <w:spacing w:after="60"/>
              <w:rPr>
                <w:rFonts w:hint="default" w:ascii="Times New Roman" w:hAnsi="Times New Roman" w:cs="Times New Roman"/>
              </w:rPr>
            </w:pPr>
            <w:r>
              <w:rPr>
                <w:rFonts w:hint="default" w:ascii="Times New Roman" w:hAnsi="Times New Roman" w:cs="Times New Roman"/>
                <w:b/>
                <w:bCs/>
              </w:rPr>
              <w:t xml:space="preserve">Md Minhajul Islam — </w:t>
            </w:r>
            <w:r>
              <w:rPr>
                <w:rFonts w:hint="default" w:ascii="Times New Roman" w:hAnsi="Times New Roman" w:cs="Times New Roman"/>
              </w:rPr>
              <w:t>Consultant, Financial Operations &amp; Business Support. 12+ years in financial advisory, office &amp; supply management and government liaison; specializes in startup loan processing, business formation, banking documentation, import/export operations and government tender management; BBA, MBA.</w:t>
            </w:r>
          </w:p>
          <w:p w14:paraId="222F040A">
            <w:pPr>
              <w:spacing w:after="60"/>
              <w:rPr>
                <w:rFonts w:hint="default" w:ascii="Times New Roman" w:hAnsi="Times New Roman" w:cs="Times New Roman"/>
              </w:rPr>
            </w:pPr>
            <w:r>
              <w:rPr>
                <w:rFonts w:hint="default" w:ascii="Times New Roman" w:hAnsi="Times New Roman" w:cs="Times New Roman"/>
                <w:b/>
                <w:bCs/>
              </w:rPr>
              <w:t xml:space="preserve">Shib Shanker Dey, FCA — </w:t>
            </w:r>
            <w:r>
              <w:rPr>
                <w:rFonts w:hint="default" w:ascii="Times New Roman" w:hAnsi="Times New Roman" w:cs="Times New Roman"/>
              </w:rPr>
              <w:t>Senior Advisor, Financial Reporting &amp; Audit Compliance. Fellow Chartered Accountant with 15+ years' experience in statutory audits, internal controls, IFRS-based reporting and compliance diagnostics.</w:t>
            </w:r>
          </w:p>
          <w:p w14:paraId="64F6A3FF">
            <w:pPr>
              <w:spacing w:after="60"/>
              <w:rPr>
                <w:rFonts w:hint="default" w:ascii="Times New Roman" w:hAnsi="Times New Roman" w:cs="Times New Roman"/>
              </w:rPr>
            </w:pPr>
            <w:r>
              <w:rPr>
                <w:rFonts w:hint="default" w:ascii="Times New Roman" w:hAnsi="Times New Roman" w:cs="Times New Roman"/>
                <w:b/>
                <w:bCs/>
              </w:rPr>
              <w:t xml:space="preserve">Advocate Tanmoy Mitra — </w:t>
            </w:r>
            <w:r>
              <w:rPr>
                <w:rFonts w:hint="default" w:ascii="Times New Roman" w:hAnsi="Times New Roman" w:cs="Times New Roman"/>
              </w:rPr>
              <w:t>Legal Advisor, Supreme Court of Bangladesh. Practicing lawyer specializing in company law, tax litigation, writ petitions and regulatory compliance.</w:t>
            </w:r>
          </w:p>
          <w:p w14:paraId="7E9388D5">
            <w:pPr>
              <w:spacing w:after="60"/>
              <w:rPr>
                <w:rFonts w:hint="default" w:ascii="Times New Roman" w:hAnsi="Times New Roman" w:cs="Times New Roman"/>
              </w:rPr>
            </w:pPr>
            <w:r>
              <w:rPr>
                <w:rFonts w:hint="default" w:ascii="Times New Roman" w:hAnsi="Times New Roman" w:cs="Times New Roman"/>
                <w:b/>
                <w:bCs/>
              </w:rPr>
              <w:t xml:space="preserve">Alamin Hossain — </w:t>
            </w:r>
            <w:r>
              <w:rPr>
                <w:rFonts w:hint="default" w:ascii="Times New Roman" w:hAnsi="Times New Roman" w:cs="Times New Roman"/>
              </w:rPr>
              <w:t>Legal Associate, Dhaka Judge Court. Handles company incorporation, agreement drafting, dispute resolution and RJSC filings at the district level.</w:t>
            </w:r>
          </w:p>
          <w:p w14:paraId="61A5FC77">
            <w:pPr>
              <w:spacing w:after="60"/>
              <w:rPr>
                <w:rFonts w:hint="default" w:ascii="Times New Roman" w:hAnsi="Times New Roman" w:cs="Times New Roman"/>
              </w:rPr>
            </w:pPr>
            <w:r>
              <w:rPr>
                <w:rFonts w:hint="default" w:ascii="Times New Roman" w:hAnsi="Times New Roman" w:cs="Times New Roman"/>
                <w:i/>
                <w:iCs/>
                <w:color w:val="595959"/>
                <w:sz w:val="20"/>
                <w:szCs w:val="20"/>
              </w:rPr>
              <w:t>Photos and any additional bios/designations should be confirmed with each team member before publishing.</w:t>
            </w:r>
          </w:p>
        </w:tc>
      </w:tr>
      <w:tr w14:paraId="031F46D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c>
          <w:tcPr>
            <w:tcW w:w="3000" w:type="dxa"/>
            <w:shd w:val="clear" w:color="auto" w:fill="F2F2F2"/>
            <w:tcMar>
              <w:top w:w="100" w:type="dxa"/>
              <w:left w:w="120" w:type="dxa"/>
              <w:bottom w:w="100" w:type="dxa"/>
              <w:right w:w="120" w:type="dxa"/>
            </w:tcMar>
          </w:tcPr>
          <w:p w14:paraId="76B7B5AC">
            <w:pPr>
              <w:rPr>
                <w:rFonts w:hint="default" w:ascii="Times New Roman" w:hAnsi="Times New Roman" w:cs="Times New Roman"/>
              </w:rPr>
            </w:pPr>
            <w:r>
              <w:rPr>
                <w:rFonts w:hint="default" w:ascii="Times New Roman" w:hAnsi="Times New Roman" w:cs="Times New Roman"/>
                <w:b/>
                <w:bCs/>
              </w:rPr>
              <w:t>Why Choose Capwise?</w:t>
            </w:r>
          </w:p>
        </w:tc>
        <w:tc>
          <w:tcPr>
            <w:tcW w:w="6639" w:type="dxa"/>
            <w:shd w:val="clear" w:color="auto" w:fill="F2F2F2"/>
            <w:tcMar>
              <w:top w:w="100" w:type="dxa"/>
              <w:left w:w="120" w:type="dxa"/>
              <w:bottom w:w="100" w:type="dxa"/>
              <w:right w:w="120" w:type="dxa"/>
            </w:tcMar>
          </w:tcPr>
          <w:p w14:paraId="402B0511">
            <w:pPr>
              <w:pStyle w:val="16"/>
              <w:numPr>
                <w:ilvl w:val="0"/>
                <w:numId w:val="1"/>
              </w:numPr>
              <w:spacing w:after="40"/>
              <w:rPr>
                <w:rFonts w:hint="default" w:ascii="Times New Roman" w:hAnsi="Times New Roman" w:cs="Times New Roman"/>
              </w:rPr>
            </w:pPr>
            <w:r>
              <w:rPr>
                <w:rFonts w:hint="default" w:ascii="Times New Roman" w:hAnsi="Times New Roman" w:cs="Times New Roman"/>
              </w:rPr>
              <w:t>One-stop coverage — tax, VAT, RJSC, audit, banking, legal, HR/payroll and licensing under a single engagement.</w:t>
            </w:r>
          </w:p>
          <w:p w14:paraId="576D935A">
            <w:pPr>
              <w:pStyle w:val="16"/>
              <w:numPr>
                <w:ilvl w:val="0"/>
                <w:numId w:val="1"/>
              </w:numPr>
              <w:spacing w:after="40"/>
              <w:rPr>
                <w:rFonts w:hint="default" w:ascii="Times New Roman" w:hAnsi="Times New Roman" w:cs="Times New Roman"/>
              </w:rPr>
            </w:pPr>
            <w:r>
              <w:rPr>
                <w:rFonts w:hint="default" w:ascii="Times New Roman" w:hAnsi="Times New Roman" w:cs="Times New Roman"/>
              </w:rPr>
              <w:t>Direct working relationships with NBR and RJSC, reducing delays on filings and approvals.</w:t>
            </w:r>
          </w:p>
          <w:p w14:paraId="2279AD10">
            <w:pPr>
              <w:pStyle w:val="16"/>
              <w:numPr>
                <w:ilvl w:val="0"/>
                <w:numId w:val="1"/>
              </w:numPr>
              <w:spacing w:after="40"/>
              <w:rPr>
                <w:rFonts w:hint="default" w:ascii="Times New Roman" w:hAnsi="Times New Roman" w:cs="Times New Roman"/>
              </w:rPr>
            </w:pPr>
            <w:r>
              <w:rPr>
                <w:rFonts w:hint="default" w:ascii="Times New Roman" w:hAnsi="Times New Roman" w:cs="Times New Roman"/>
              </w:rPr>
              <w:t>A multidisciplinary team of chartered accountants, tax consultants, and Supreme Court-enrolled lawyers.</w:t>
            </w:r>
          </w:p>
          <w:p w14:paraId="629E6492">
            <w:pPr>
              <w:pStyle w:val="16"/>
              <w:numPr>
                <w:ilvl w:val="0"/>
                <w:numId w:val="1"/>
              </w:numPr>
              <w:spacing w:after="40"/>
              <w:rPr>
                <w:rFonts w:hint="default" w:ascii="Times New Roman" w:hAnsi="Times New Roman" w:cs="Times New Roman"/>
              </w:rPr>
            </w:pPr>
            <w:r>
              <w:rPr>
                <w:rFonts w:hint="default" w:ascii="Times New Roman" w:hAnsi="Times New Roman" w:cs="Times New Roman"/>
              </w:rPr>
              <w:t>Flexible retainer models built for ongoing compliance, not just one-time projects.</w:t>
            </w:r>
          </w:p>
          <w:p w14:paraId="53A134EC">
            <w:pPr>
              <w:pStyle w:val="16"/>
              <w:numPr>
                <w:ilvl w:val="0"/>
                <w:numId w:val="1"/>
              </w:numPr>
              <w:spacing w:after="40"/>
              <w:rPr>
                <w:rFonts w:hint="default" w:ascii="Times New Roman" w:hAnsi="Times New Roman" w:cs="Times New Roman"/>
              </w:rPr>
            </w:pPr>
            <w:r>
              <w:rPr>
                <w:rFonts w:hint="default" w:ascii="Times New Roman" w:hAnsi="Times New Roman" w:cs="Times New Roman"/>
              </w:rPr>
              <w:t>Transparent, tailored advice for local SMEs and foreign investors alike.</w:t>
            </w:r>
          </w:p>
        </w:tc>
      </w:tr>
    </w:tbl>
    <w:p w14:paraId="1073DAD7">
      <w:pPr>
        <w:pStyle w:val="2"/>
        <w:pBdr>
          <w:bottom w:val="single" w:color="C0202E" w:sz="6" w:space="4"/>
        </w:pBdr>
        <w:spacing w:before="400" w:after="150"/>
      </w:pPr>
      <w:r>
        <w:rPr>
          <w:b/>
          <w:bCs/>
          <w:color w:val="1F2A44"/>
          <w:sz w:val="26"/>
          <w:szCs w:val="26"/>
        </w:rPr>
        <w:t>3. Business in Bangladesh Section</w:t>
      </w:r>
    </w:p>
    <w:tbl>
      <w:tblPr>
        <w:tblStyle w:val="9"/>
        <w:tblW w:w="9639"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 w:type="dxa"/>
          <w:bottom w:w="0" w:type="dxa"/>
          <w:right w:w="10" w:type="dxa"/>
        </w:tblCellMar>
      </w:tblPr>
      <w:tblGrid>
        <w:gridCol w:w="3000"/>
        <w:gridCol w:w="6639"/>
      </w:tblGrid>
      <w:tr w14:paraId="78A81F9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blHeader/>
        </w:trPr>
        <w:tc>
          <w:tcPr>
            <w:tcW w:w="3000" w:type="dxa"/>
            <w:shd w:val="clear" w:color="auto" w:fill="1F2A44"/>
            <w:tcMar>
              <w:top w:w="100" w:type="dxa"/>
              <w:left w:w="120" w:type="dxa"/>
              <w:bottom w:w="100" w:type="dxa"/>
              <w:right w:w="120" w:type="dxa"/>
            </w:tcMar>
          </w:tcPr>
          <w:p w14:paraId="763CBFEC">
            <w:pPr>
              <w:rPr>
                <w:rFonts w:hint="default" w:ascii="Times New Roman" w:hAnsi="Times New Roman" w:cs="Times New Roman"/>
              </w:rPr>
            </w:pPr>
            <w:r>
              <w:rPr>
                <w:rFonts w:hint="default" w:ascii="Times New Roman" w:hAnsi="Times New Roman" w:cs="Times New Roman"/>
                <w:b/>
                <w:bCs/>
                <w:color w:val="FFFFFF"/>
              </w:rPr>
              <w:t>Content Element</w:t>
            </w:r>
          </w:p>
        </w:tc>
        <w:tc>
          <w:tcPr>
            <w:tcW w:w="6639" w:type="dxa"/>
            <w:shd w:val="clear" w:color="auto" w:fill="1F2A44"/>
            <w:tcMar>
              <w:top w:w="100" w:type="dxa"/>
              <w:left w:w="120" w:type="dxa"/>
              <w:bottom w:w="100" w:type="dxa"/>
              <w:right w:w="120" w:type="dxa"/>
            </w:tcMar>
          </w:tcPr>
          <w:p w14:paraId="437533A6">
            <w:pPr>
              <w:rPr>
                <w:rFonts w:hint="default" w:ascii="Times New Roman" w:hAnsi="Times New Roman" w:cs="Times New Roman"/>
              </w:rPr>
            </w:pPr>
            <w:r>
              <w:rPr>
                <w:rFonts w:hint="default" w:ascii="Times New Roman" w:hAnsi="Times New Roman" w:cs="Times New Roman"/>
                <w:b/>
                <w:bCs/>
                <w:color w:val="FFFFFF"/>
              </w:rPr>
              <w:t>Client Input (Filled by Capwise)</w:t>
            </w:r>
          </w:p>
        </w:tc>
      </w:tr>
      <w:tr w14:paraId="7323CB6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c>
          <w:tcPr>
            <w:tcW w:w="3000" w:type="dxa"/>
            <w:shd w:val="clear" w:color="auto" w:fill="FFFFFF"/>
            <w:tcMar>
              <w:top w:w="100" w:type="dxa"/>
              <w:left w:w="120" w:type="dxa"/>
              <w:bottom w:w="100" w:type="dxa"/>
              <w:right w:w="120" w:type="dxa"/>
            </w:tcMar>
          </w:tcPr>
          <w:p w14:paraId="07FB83F0">
            <w:pPr>
              <w:rPr>
                <w:rFonts w:hint="default" w:ascii="Times New Roman" w:hAnsi="Times New Roman" w:cs="Times New Roman"/>
              </w:rPr>
            </w:pPr>
            <w:r>
              <w:rPr>
                <w:rFonts w:hint="default" w:ascii="Times New Roman" w:hAnsi="Times New Roman" w:cs="Times New Roman"/>
                <w:b/>
                <w:bCs/>
              </w:rPr>
              <w:t>Legal Structures</w:t>
            </w:r>
          </w:p>
        </w:tc>
        <w:tc>
          <w:tcPr>
            <w:tcW w:w="6639" w:type="dxa"/>
            <w:shd w:val="clear" w:color="auto" w:fill="FFFFFF"/>
            <w:tcMar>
              <w:top w:w="100" w:type="dxa"/>
              <w:left w:w="120" w:type="dxa"/>
              <w:bottom w:w="100" w:type="dxa"/>
              <w:right w:w="120" w:type="dxa"/>
            </w:tcMar>
          </w:tcPr>
          <w:p w14:paraId="5002C10B">
            <w:pPr>
              <w:pStyle w:val="16"/>
              <w:numPr>
                <w:ilvl w:val="0"/>
                <w:numId w:val="1"/>
              </w:numPr>
              <w:spacing w:after="40"/>
              <w:rPr>
                <w:rFonts w:hint="default" w:ascii="Times New Roman" w:hAnsi="Times New Roman" w:cs="Times New Roman"/>
              </w:rPr>
            </w:pPr>
            <w:r>
              <w:rPr>
                <w:rFonts w:hint="default" w:ascii="Times New Roman" w:hAnsi="Times New Roman" w:cs="Times New Roman"/>
              </w:rPr>
              <w:t>Sole Proprietorship — simplest structure for individual entrepreneurs, registered via trade license.</w:t>
            </w:r>
          </w:p>
          <w:p w14:paraId="74AA10F2">
            <w:pPr>
              <w:pStyle w:val="16"/>
              <w:numPr>
                <w:ilvl w:val="0"/>
                <w:numId w:val="1"/>
              </w:numPr>
              <w:spacing w:after="40"/>
              <w:rPr>
                <w:rFonts w:hint="default" w:ascii="Times New Roman" w:hAnsi="Times New Roman" w:cs="Times New Roman"/>
              </w:rPr>
            </w:pPr>
            <w:r>
              <w:rPr>
                <w:rFonts w:hint="default" w:ascii="Times New Roman" w:hAnsi="Times New Roman" w:cs="Times New Roman"/>
              </w:rPr>
              <w:t>Partnership — governed by a Partnership Deed; suited to two or more owners sharing capital and management.</w:t>
            </w:r>
          </w:p>
          <w:p w14:paraId="549C6510">
            <w:pPr>
              <w:pStyle w:val="16"/>
              <w:numPr>
                <w:ilvl w:val="0"/>
                <w:numId w:val="1"/>
              </w:numPr>
              <w:spacing w:after="40"/>
              <w:rPr>
                <w:rFonts w:hint="default" w:ascii="Times New Roman" w:hAnsi="Times New Roman" w:cs="Times New Roman"/>
              </w:rPr>
            </w:pPr>
            <w:r>
              <w:rPr>
                <w:rFonts w:hint="default" w:ascii="Times New Roman" w:hAnsi="Times New Roman" w:cs="Times New Roman"/>
              </w:rPr>
              <w:t>Private Limited Company — most common structure for SMEs and foreign investment, registered with RJSC, offering limited liability.</w:t>
            </w:r>
          </w:p>
          <w:p w14:paraId="15466922">
            <w:pPr>
              <w:pStyle w:val="16"/>
              <w:numPr>
                <w:ilvl w:val="0"/>
                <w:numId w:val="1"/>
              </w:numPr>
              <w:spacing w:after="40"/>
              <w:rPr>
                <w:rFonts w:hint="default" w:ascii="Times New Roman" w:hAnsi="Times New Roman" w:cs="Times New Roman"/>
              </w:rPr>
            </w:pPr>
            <w:r>
              <w:rPr>
                <w:rFonts w:hint="default" w:ascii="Times New Roman" w:hAnsi="Times New Roman" w:cs="Times New Roman"/>
              </w:rPr>
              <w:t>Branch / Liaison Office — for foreign companies wishing to establish a local presence without incorporating a separate Bangladeshi entity; requires Bangladesh Bank/BIDA approval.</w:t>
            </w:r>
          </w:p>
        </w:tc>
      </w:tr>
      <w:tr w14:paraId="014AEEA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c>
          <w:tcPr>
            <w:tcW w:w="3000" w:type="dxa"/>
            <w:shd w:val="clear" w:color="auto" w:fill="F2F2F2"/>
            <w:tcMar>
              <w:top w:w="100" w:type="dxa"/>
              <w:left w:w="120" w:type="dxa"/>
              <w:bottom w:w="100" w:type="dxa"/>
              <w:right w:w="120" w:type="dxa"/>
            </w:tcMar>
          </w:tcPr>
          <w:p w14:paraId="0BFDB540">
            <w:pPr>
              <w:rPr>
                <w:rFonts w:hint="default" w:ascii="Times New Roman" w:hAnsi="Times New Roman" w:cs="Times New Roman"/>
              </w:rPr>
            </w:pPr>
            <w:r>
              <w:rPr>
                <w:rFonts w:hint="default" w:ascii="Times New Roman" w:hAnsi="Times New Roman" w:cs="Times New Roman"/>
                <w:b/>
                <w:bCs/>
              </w:rPr>
              <w:t>Company / Incorporation Procedures</w:t>
            </w:r>
          </w:p>
        </w:tc>
        <w:tc>
          <w:tcPr>
            <w:tcW w:w="6639" w:type="dxa"/>
            <w:shd w:val="clear" w:color="auto" w:fill="F2F2F2"/>
            <w:tcMar>
              <w:top w:w="100" w:type="dxa"/>
              <w:left w:w="120" w:type="dxa"/>
              <w:bottom w:w="100" w:type="dxa"/>
              <w:right w:w="120" w:type="dxa"/>
            </w:tcMar>
          </w:tcPr>
          <w:p w14:paraId="6B25C840">
            <w:pPr>
              <w:spacing w:after="60"/>
              <w:rPr>
                <w:rFonts w:hint="default" w:ascii="Times New Roman" w:hAnsi="Times New Roman" w:cs="Times New Roman"/>
              </w:rPr>
            </w:pPr>
            <w:r>
              <w:rPr>
                <w:rFonts w:hint="default" w:ascii="Times New Roman" w:hAnsi="Times New Roman" w:cs="Times New Roman"/>
              </w:rPr>
              <w:t>Capwise manages the full incorporation lifecycle: name clearance with RJSC, drafting of Memorandum &amp; Articles of Association (or Partnership Deed), submission of registration documents, obtaining the Certificate of Incorporation, and follow-on registrations including TIN, BIN (VAT), and trade license — so clients have a fully compliant, operational entity from day one.</w:t>
            </w:r>
          </w:p>
        </w:tc>
      </w:tr>
      <w:tr w14:paraId="06E73E5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c>
          <w:tcPr>
            <w:tcW w:w="3000" w:type="dxa"/>
            <w:shd w:val="clear" w:color="auto" w:fill="FFFFFF"/>
            <w:tcMar>
              <w:top w:w="100" w:type="dxa"/>
              <w:left w:w="120" w:type="dxa"/>
              <w:bottom w:w="100" w:type="dxa"/>
              <w:right w:w="120" w:type="dxa"/>
            </w:tcMar>
          </w:tcPr>
          <w:p w14:paraId="7254A647">
            <w:pPr>
              <w:rPr>
                <w:rFonts w:hint="default" w:ascii="Times New Roman" w:hAnsi="Times New Roman" w:cs="Times New Roman"/>
              </w:rPr>
            </w:pPr>
            <w:r>
              <w:rPr>
                <w:rFonts w:hint="default" w:ascii="Times New Roman" w:hAnsi="Times New Roman" w:cs="Times New Roman"/>
                <w:b/>
                <w:bCs/>
              </w:rPr>
              <w:t>Ongoing Compliance Obligations</w:t>
            </w:r>
          </w:p>
        </w:tc>
        <w:tc>
          <w:tcPr>
            <w:tcW w:w="6639" w:type="dxa"/>
            <w:shd w:val="clear" w:color="auto" w:fill="FFFFFF"/>
            <w:tcMar>
              <w:top w:w="100" w:type="dxa"/>
              <w:left w:w="120" w:type="dxa"/>
              <w:bottom w:w="100" w:type="dxa"/>
              <w:right w:w="120" w:type="dxa"/>
            </w:tcMar>
          </w:tcPr>
          <w:p w14:paraId="52055E73">
            <w:pPr>
              <w:pStyle w:val="16"/>
              <w:numPr>
                <w:ilvl w:val="0"/>
                <w:numId w:val="1"/>
              </w:numPr>
              <w:spacing w:after="40"/>
              <w:rPr>
                <w:rFonts w:hint="default" w:ascii="Times New Roman" w:hAnsi="Times New Roman" w:cs="Times New Roman"/>
              </w:rPr>
            </w:pPr>
            <w:r>
              <w:rPr>
                <w:rFonts w:hint="default" w:ascii="Times New Roman" w:hAnsi="Times New Roman" w:cs="Times New Roman"/>
              </w:rPr>
              <w:t>Annual RJSC filings (Annual Return, Schedule X, financial statements).</w:t>
            </w:r>
          </w:p>
          <w:p w14:paraId="40E6DE7A">
            <w:pPr>
              <w:pStyle w:val="16"/>
              <w:numPr>
                <w:ilvl w:val="0"/>
                <w:numId w:val="1"/>
              </w:numPr>
              <w:spacing w:after="40"/>
              <w:rPr>
                <w:rFonts w:hint="default" w:ascii="Times New Roman" w:hAnsi="Times New Roman" w:cs="Times New Roman"/>
              </w:rPr>
            </w:pPr>
            <w:r>
              <w:rPr>
                <w:rFonts w:hint="default" w:ascii="Times New Roman" w:hAnsi="Times New Roman" w:cs="Times New Roman"/>
              </w:rPr>
              <w:t>Corporate income tax return filing with NBR.</w:t>
            </w:r>
          </w:p>
          <w:p w14:paraId="26F9207D">
            <w:pPr>
              <w:pStyle w:val="16"/>
              <w:numPr>
                <w:ilvl w:val="0"/>
                <w:numId w:val="1"/>
              </w:numPr>
              <w:spacing w:after="40"/>
              <w:rPr>
                <w:rFonts w:hint="default" w:ascii="Times New Roman" w:hAnsi="Times New Roman" w:cs="Times New Roman"/>
              </w:rPr>
            </w:pPr>
            <w:r>
              <w:rPr>
                <w:rFonts w:hint="default" w:ascii="Times New Roman" w:hAnsi="Times New Roman" w:cs="Times New Roman"/>
              </w:rPr>
              <w:t>VAT return submission (monthly/periodic, as applicable).</w:t>
            </w:r>
          </w:p>
          <w:p w14:paraId="0BDB2AC9">
            <w:pPr>
              <w:pStyle w:val="16"/>
              <w:numPr>
                <w:ilvl w:val="0"/>
                <w:numId w:val="1"/>
              </w:numPr>
              <w:spacing w:after="40"/>
              <w:rPr>
                <w:rFonts w:hint="default" w:ascii="Times New Roman" w:hAnsi="Times New Roman" w:cs="Times New Roman"/>
              </w:rPr>
            </w:pPr>
            <w:r>
              <w:rPr>
                <w:rFonts w:hint="default" w:ascii="Times New Roman" w:hAnsi="Times New Roman" w:cs="Times New Roman"/>
              </w:rPr>
              <w:t>Statutory audit and financial reporting (IFRS/IAS-based).</w:t>
            </w:r>
          </w:p>
          <w:p w14:paraId="483FAD98">
            <w:pPr>
              <w:pStyle w:val="16"/>
              <w:numPr>
                <w:ilvl w:val="0"/>
                <w:numId w:val="1"/>
              </w:numPr>
              <w:spacing w:after="40"/>
              <w:rPr>
                <w:rFonts w:hint="default" w:ascii="Times New Roman" w:hAnsi="Times New Roman" w:cs="Times New Roman"/>
              </w:rPr>
            </w:pPr>
            <w:r>
              <w:rPr>
                <w:rFonts w:hint="default" w:ascii="Times New Roman" w:hAnsi="Times New Roman" w:cs="Times New Roman"/>
              </w:rPr>
              <w:t>Labour law compliance, including employee records and provident fund/gratuity where applicable.</w:t>
            </w:r>
          </w:p>
        </w:tc>
      </w:tr>
      <w:tr w14:paraId="1BA5A10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c>
          <w:tcPr>
            <w:tcW w:w="3000" w:type="dxa"/>
            <w:shd w:val="clear" w:color="auto" w:fill="F2F2F2"/>
            <w:tcMar>
              <w:top w:w="100" w:type="dxa"/>
              <w:left w:w="120" w:type="dxa"/>
              <w:bottom w:w="100" w:type="dxa"/>
              <w:right w:w="120" w:type="dxa"/>
            </w:tcMar>
          </w:tcPr>
          <w:p w14:paraId="1C2C5BD1">
            <w:pPr>
              <w:rPr>
                <w:rFonts w:hint="default" w:ascii="Times New Roman" w:hAnsi="Times New Roman" w:cs="Times New Roman"/>
              </w:rPr>
            </w:pPr>
            <w:r>
              <w:rPr>
                <w:rFonts w:hint="default" w:ascii="Times New Roman" w:hAnsi="Times New Roman" w:cs="Times New Roman"/>
                <w:b/>
                <w:bCs/>
              </w:rPr>
              <w:t>Tax Implications (Corporate Tax, VAT)</w:t>
            </w:r>
          </w:p>
        </w:tc>
        <w:tc>
          <w:tcPr>
            <w:tcW w:w="6639" w:type="dxa"/>
            <w:shd w:val="clear" w:color="auto" w:fill="F2F2F2"/>
            <w:tcMar>
              <w:top w:w="100" w:type="dxa"/>
              <w:left w:w="120" w:type="dxa"/>
              <w:bottom w:w="100" w:type="dxa"/>
              <w:right w:w="120" w:type="dxa"/>
            </w:tcMar>
          </w:tcPr>
          <w:p w14:paraId="2E776FF3">
            <w:pPr>
              <w:spacing w:after="60"/>
              <w:rPr>
                <w:rFonts w:hint="default" w:ascii="Times New Roman" w:hAnsi="Times New Roman" w:cs="Times New Roman"/>
              </w:rPr>
            </w:pPr>
            <w:r>
              <w:rPr>
                <w:rFonts w:hint="default" w:ascii="Times New Roman" w:hAnsi="Times New Roman" w:cs="Times New Roman"/>
              </w:rPr>
              <w:t>Businesses operating in Bangladesh are subject to corporate income tax (rates vary by entity type and sector) and VAT on applicable goods and services, alongside withholding tax obligations on qualifying transactions. Capwise provides tax planning, VAT registration and return filing, withholding tax compliance, exemption certificate support, and NBR dispute resolution to keep clients compliant and efficient.</w:t>
            </w:r>
          </w:p>
          <w:p w14:paraId="6AA83170">
            <w:pPr>
              <w:spacing w:after="60"/>
              <w:rPr>
                <w:rFonts w:hint="default" w:ascii="Times New Roman" w:hAnsi="Times New Roman" w:cs="Times New Roman"/>
              </w:rPr>
            </w:pPr>
            <w:r>
              <w:rPr>
                <w:rFonts w:hint="default" w:ascii="Times New Roman" w:hAnsi="Times New Roman" w:cs="Times New Roman"/>
                <w:i/>
                <w:iCs/>
                <w:color w:val="595959"/>
                <w:sz w:val="20"/>
                <w:szCs w:val="20"/>
              </w:rPr>
              <w:t>Exact current tax/VAT rates change with each Finance Act — recommend linking to an NBR reference or a periodically-updated blog post rather than hardcoding rates on this page.</w:t>
            </w:r>
          </w:p>
        </w:tc>
      </w:tr>
      <w:tr w14:paraId="0205B83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c>
          <w:tcPr>
            <w:tcW w:w="3000" w:type="dxa"/>
            <w:shd w:val="clear" w:color="auto" w:fill="FFFFFF"/>
            <w:tcMar>
              <w:top w:w="100" w:type="dxa"/>
              <w:left w:w="120" w:type="dxa"/>
              <w:bottom w:w="100" w:type="dxa"/>
              <w:right w:w="120" w:type="dxa"/>
            </w:tcMar>
          </w:tcPr>
          <w:p w14:paraId="568D5EC0">
            <w:pPr>
              <w:rPr>
                <w:rFonts w:hint="default" w:ascii="Times New Roman" w:hAnsi="Times New Roman" w:cs="Times New Roman"/>
              </w:rPr>
            </w:pPr>
            <w:r>
              <w:rPr>
                <w:rFonts w:hint="default" w:ascii="Times New Roman" w:hAnsi="Times New Roman" w:cs="Times New Roman"/>
                <w:b/>
                <w:bCs/>
              </w:rPr>
              <w:t>Labour &amp; Employment Environment</w:t>
            </w:r>
          </w:p>
        </w:tc>
        <w:tc>
          <w:tcPr>
            <w:tcW w:w="6639" w:type="dxa"/>
            <w:shd w:val="clear" w:color="auto" w:fill="FFFFFF"/>
            <w:tcMar>
              <w:top w:w="100" w:type="dxa"/>
              <w:left w:w="120" w:type="dxa"/>
              <w:bottom w:w="100" w:type="dxa"/>
              <w:right w:w="120" w:type="dxa"/>
            </w:tcMar>
          </w:tcPr>
          <w:p w14:paraId="5536A955">
            <w:pPr>
              <w:spacing w:after="60"/>
              <w:rPr>
                <w:rFonts w:hint="default" w:ascii="Times New Roman" w:hAnsi="Times New Roman" w:cs="Times New Roman"/>
              </w:rPr>
            </w:pPr>
            <w:r>
              <w:rPr>
                <w:rFonts w:hint="default" w:ascii="Times New Roman" w:hAnsi="Times New Roman" w:cs="Times New Roman"/>
              </w:rPr>
              <w:t>Employment in Bangladesh is governed primarily by the Bangladesh Labour Act, covering contracts, working hours, leave entitlements, termination, and provident fund/gratuity obligations. Capwise supports clients with HR policy development, payroll compliance, employee handbook preparation, and full labour-law compliance so hiring and workforce management stay risk-free.</w:t>
            </w:r>
          </w:p>
        </w:tc>
      </w:tr>
    </w:tbl>
    <w:p w14:paraId="62D85DB9">
      <w:pPr>
        <w:pStyle w:val="2"/>
        <w:pBdr>
          <w:bottom w:val="single" w:color="C0202E" w:sz="6" w:space="4"/>
        </w:pBdr>
        <w:spacing w:before="400" w:after="150"/>
      </w:pPr>
      <w:r>
        <w:rPr>
          <w:b/>
          <w:bCs/>
          <w:color w:val="1F2A44"/>
          <w:sz w:val="26"/>
          <w:szCs w:val="26"/>
        </w:rPr>
        <w:t>4. Services Section</w:t>
      </w:r>
    </w:p>
    <w:tbl>
      <w:tblPr>
        <w:tblStyle w:val="9"/>
        <w:tblW w:w="9639"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 w:type="dxa"/>
          <w:bottom w:w="0" w:type="dxa"/>
          <w:right w:w="10" w:type="dxa"/>
        </w:tblCellMar>
      </w:tblPr>
      <w:tblGrid>
        <w:gridCol w:w="3000"/>
        <w:gridCol w:w="6639"/>
      </w:tblGrid>
      <w:tr w14:paraId="4EA236C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blHeader/>
        </w:trPr>
        <w:tc>
          <w:tcPr>
            <w:tcW w:w="3000" w:type="dxa"/>
            <w:shd w:val="clear" w:color="auto" w:fill="1F2A44"/>
            <w:tcMar>
              <w:top w:w="100" w:type="dxa"/>
              <w:left w:w="120" w:type="dxa"/>
              <w:bottom w:w="100" w:type="dxa"/>
              <w:right w:w="120" w:type="dxa"/>
            </w:tcMar>
          </w:tcPr>
          <w:p w14:paraId="66E0A252">
            <w:pPr>
              <w:rPr>
                <w:rFonts w:hint="default" w:ascii="Times New Roman" w:hAnsi="Times New Roman" w:cs="Times New Roman"/>
              </w:rPr>
            </w:pPr>
            <w:r>
              <w:rPr>
                <w:rFonts w:hint="default" w:ascii="Times New Roman" w:hAnsi="Times New Roman" w:cs="Times New Roman"/>
                <w:b/>
                <w:bCs/>
                <w:color w:val="FFFFFF"/>
              </w:rPr>
              <w:t>Content Element</w:t>
            </w:r>
          </w:p>
        </w:tc>
        <w:tc>
          <w:tcPr>
            <w:tcW w:w="6639" w:type="dxa"/>
            <w:shd w:val="clear" w:color="auto" w:fill="1F2A44"/>
            <w:tcMar>
              <w:top w:w="100" w:type="dxa"/>
              <w:left w:w="120" w:type="dxa"/>
              <w:bottom w:w="100" w:type="dxa"/>
              <w:right w:w="120" w:type="dxa"/>
            </w:tcMar>
          </w:tcPr>
          <w:p w14:paraId="4D9A9055">
            <w:pPr>
              <w:rPr>
                <w:rFonts w:hint="default" w:ascii="Times New Roman" w:hAnsi="Times New Roman" w:cs="Times New Roman"/>
              </w:rPr>
            </w:pPr>
            <w:r>
              <w:rPr>
                <w:rFonts w:hint="default" w:ascii="Times New Roman" w:hAnsi="Times New Roman" w:cs="Times New Roman"/>
                <w:b/>
                <w:bCs/>
                <w:color w:val="FFFFFF"/>
              </w:rPr>
              <w:t>Client Input (Filled by Capwise)</w:t>
            </w:r>
          </w:p>
        </w:tc>
      </w:tr>
      <w:tr w14:paraId="4B614B3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c>
          <w:tcPr>
            <w:tcW w:w="3000" w:type="dxa"/>
            <w:shd w:val="clear" w:color="auto" w:fill="FFFFFF"/>
            <w:tcMar>
              <w:top w:w="100" w:type="dxa"/>
              <w:left w:w="120" w:type="dxa"/>
              <w:bottom w:w="100" w:type="dxa"/>
              <w:right w:w="120" w:type="dxa"/>
            </w:tcMar>
          </w:tcPr>
          <w:p w14:paraId="52BFBA6F">
            <w:pPr>
              <w:rPr>
                <w:rFonts w:hint="default" w:ascii="Times New Roman" w:hAnsi="Times New Roman" w:cs="Times New Roman"/>
              </w:rPr>
            </w:pPr>
            <w:r>
              <w:rPr>
                <w:rFonts w:hint="default" w:ascii="Times New Roman" w:hAnsi="Times New Roman" w:cs="Times New Roman"/>
                <w:b/>
                <w:bCs/>
              </w:rPr>
              <w:t>Company Formation &amp; Registration</w:t>
            </w:r>
          </w:p>
        </w:tc>
        <w:tc>
          <w:tcPr>
            <w:tcW w:w="6639" w:type="dxa"/>
            <w:shd w:val="clear" w:color="auto" w:fill="FFFFFF"/>
            <w:tcMar>
              <w:top w:w="100" w:type="dxa"/>
              <w:left w:w="120" w:type="dxa"/>
              <w:bottom w:w="100" w:type="dxa"/>
              <w:right w:w="120" w:type="dxa"/>
            </w:tcMar>
          </w:tcPr>
          <w:p w14:paraId="63D3E0A2">
            <w:pPr>
              <w:pStyle w:val="16"/>
              <w:numPr>
                <w:ilvl w:val="0"/>
                <w:numId w:val="1"/>
              </w:numPr>
              <w:spacing w:after="40"/>
              <w:rPr>
                <w:rFonts w:hint="default" w:ascii="Times New Roman" w:hAnsi="Times New Roman" w:cs="Times New Roman"/>
              </w:rPr>
            </w:pPr>
            <w:r>
              <w:rPr>
                <w:rFonts w:hint="default" w:ascii="Times New Roman" w:hAnsi="Times New Roman" w:cs="Times New Roman"/>
              </w:rPr>
              <w:t>RJSC company registration and amendments</w:t>
            </w:r>
          </w:p>
          <w:p w14:paraId="6469C25E">
            <w:pPr>
              <w:pStyle w:val="16"/>
              <w:numPr>
                <w:ilvl w:val="0"/>
                <w:numId w:val="1"/>
              </w:numPr>
              <w:spacing w:after="40"/>
              <w:rPr>
                <w:rFonts w:hint="default" w:ascii="Times New Roman" w:hAnsi="Times New Roman" w:cs="Times New Roman"/>
              </w:rPr>
            </w:pPr>
            <w:r>
              <w:rPr>
                <w:rFonts w:hint="default" w:ascii="Times New Roman" w:hAnsi="Times New Roman" w:cs="Times New Roman"/>
              </w:rPr>
              <w:t>Trade license, IRC/ERC, tax identification and BIN</w:t>
            </w:r>
          </w:p>
          <w:p w14:paraId="61D582AD">
            <w:pPr>
              <w:pStyle w:val="16"/>
              <w:numPr>
                <w:ilvl w:val="0"/>
                <w:numId w:val="1"/>
              </w:numPr>
              <w:spacing w:after="40"/>
              <w:rPr>
                <w:rFonts w:hint="default" w:ascii="Times New Roman" w:hAnsi="Times New Roman" w:cs="Times New Roman"/>
              </w:rPr>
            </w:pPr>
            <w:r>
              <w:rPr>
                <w:rFonts w:hint="default" w:ascii="Times New Roman" w:hAnsi="Times New Roman" w:cs="Times New Roman"/>
              </w:rPr>
              <w:t>Partnership &amp; proprietorship registration</w:t>
            </w:r>
          </w:p>
          <w:p w14:paraId="11643EC6">
            <w:pPr>
              <w:pStyle w:val="16"/>
              <w:numPr>
                <w:ilvl w:val="0"/>
                <w:numId w:val="1"/>
              </w:numPr>
              <w:spacing w:after="40"/>
              <w:rPr>
                <w:rFonts w:hint="default" w:ascii="Times New Roman" w:hAnsi="Times New Roman" w:cs="Times New Roman"/>
              </w:rPr>
            </w:pPr>
            <w:r>
              <w:rPr>
                <w:rFonts w:hint="default" w:ascii="Times New Roman" w:hAnsi="Times New Roman" w:cs="Times New Roman"/>
              </w:rPr>
              <w:t>Joint venture and foreign investment support</w:t>
            </w:r>
          </w:p>
        </w:tc>
      </w:tr>
      <w:tr w14:paraId="4124513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c>
          <w:tcPr>
            <w:tcW w:w="3000" w:type="dxa"/>
            <w:shd w:val="clear" w:color="auto" w:fill="F2F2F2"/>
            <w:tcMar>
              <w:top w:w="100" w:type="dxa"/>
              <w:left w:w="120" w:type="dxa"/>
              <w:bottom w:w="100" w:type="dxa"/>
              <w:right w:w="120" w:type="dxa"/>
            </w:tcMar>
          </w:tcPr>
          <w:p w14:paraId="23CF6902">
            <w:pPr>
              <w:rPr>
                <w:rFonts w:hint="default" w:ascii="Times New Roman" w:hAnsi="Times New Roman" w:cs="Times New Roman"/>
              </w:rPr>
            </w:pPr>
            <w:r>
              <w:rPr>
                <w:rFonts w:hint="default" w:ascii="Times New Roman" w:hAnsi="Times New Roman" w:cs="Times New Roman"/>
                <w:b/>
                <w:bCs/>
              </w:rPr>
              <w:t>Accounting &amp; Bookkeeping</w:t>
            </w:r>
          </w:p>
        </w:tc>
        <w:tc>
          <w:tcPr>
            <w:tcW w:w="6639" w:type="dxa"/>
            <w:shd w:val="clear" w:color="auto" w:fill="F2F2F2"/>
            <w:tcMar>
              <w:top w:w="100" w:type="dxa"/>
              <w:left w:w="120" w:type="dxa"/>
              <w:bottom w:w="100" w:type="dxa"/>
              <w:right w:w="120" w:type="dxa"/>
            </w:tcMar>
          </w:tcPr>
          <w:p w14:paraId="1730AC42">
            <w:pPr>
              <w:pStyle w:val="16"/>
              <w:numPr>
                <w:ilvl w:val="0"/>
                <w:numId w:val="1"/>
              </w:numPr>
              <w:spacing w:after="40"/>
              <w:rPr>
                <w:rFonts w:hint="default" w:ascii="Times New Roman" w:hAnsi="Times New Roman" w:cs="Times New Roman"/>
              </w:rPr>
            </w:pPr>
            <w:r>
              <w:rPr>
                <w:rFonts w:hint="default" w:ascii="Times New Roman" w:hAnsi="Times New Roman" w:cs="Times New Roman"/>
              </w:rPr>
              <w:t>Bookkeeping and day-to-day accounting</w:t>
            </w:r>
          </w:p>
          <w:p w14:paraId="7FF1AE2C">
            <w:pPr>
              <w:pStyle w:val="16"/>
              <w:numPr>
                <w:ilvl w:val="0"/>
                <w:numId w:val="1"/>
              </w:numPr>
              <w:spacing w:after="40"/>
              <w:rPr>
                <w:rFonts w:hint="default" w:ascii="Times New Roman" w:hAnsi="Times New Roman" w:cs="Times New Roman"/>
              </w:rPr>
            </w:pPr>
            <w:r>
              <w:rPr>
                <w:rFonts w:hint="default" w:ascii="Times New Roman" w:hAnsi="Times New Roman" w:cs="Times New Roman"/>
              </w:rPr>
              <w:t>Financial statement preparation (IFRS/IAS-based)</w:t>
            </w:r>
          </w:p>
          <w:p w14:paraId="0FF2AF7D">
            <w:pPr>
              <w:pStyle w:val="16"/>
              <w:numPr>
                <w:ilvl w:val="0"/>
                <w:numId w:val="1"/>
              </w:numPr>
              <w:spacing w:after="40"/>
              <w:rPr>
                <w:rFonts w:hint="default" w:ascii="Times New Roman" w:hAnsi="Times New Roman" w:cs="Times New Roman"/>
              </w:rPr>
            </w:pPr>
            <w:r>
              <w:rPr>
                <w:rFonts w:hint="default" w:ascii="Times New Roman" w:hAnsi="Times New Roman" w:cs="Times New Roman"/>
              </w:rPr>
              <w:t>Management reporting, budgeting &amp; forecasting</w:t>
            </w:r>
          </w:p>
          <w:p w14:paraId="36B92882">
            <w:pPr>
              <w:pStyle w:val="16"/>
              <w:numPr>
                <w:ilvl w:val="0"/>
                <w:numId w:val="1"/>
              </w:numPr>
              <w:spacing w:after="40"/>
              <w:rPr>
                <w:rFonts w:hint="default" w:ascii="Times New Roman" w:hAnsi="Times New Roman" w:cs="Times New Roman"/>
              </w:rPr>
            </w:pPr>
            <w:r>
              <w:rPr>
                <w:rFonts w:hint="default" w:ascii="Times New Roman" w:hAnsi="Times New Roman" w:cs="Times New Roman"/>
              </w:rPr>
              <w:t>Cost analysis, profitability assessment and Virtual CFO services</w:t>
            </w:r>
          </w:p>
        </w:tc>
      </w:tr>
      <w:tr w14:paraId="0DE8AB3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c>
          <w:tcPr>
            <w:tcW w:w="3000" w:type="dxa"/>
            <w:shd w:val="clear" w:color="auto" w:fill="FFFFFF"/>
            <w:tcMar>
              <w:top w:w="100" w:type="dxa"/>
              <w:left w:w="120" w:type="dxa"/>
              <w:bottom w:w="100" w:type="dxa"/>
              <w:right w:w="120" w:type="dxa"/>
            </w:tcMar>
          </w:tcPr>
          <w:p w14:paraId="7F511A6E">
            <w:pPr>
              <w:rPr>
                <w:rFonts w:hint="default" w:ascii="Times New Roman" w:hAnsi="Times New Roman" w:cs="Times New Roman"/>
              </w:rPr>
            </w:pPr>
            <w:r>
              <w:rPr>
                <w:rFonts w:hint="default" w:ascii="Times New Roman" w:hAnsi="Times New Roman" w:cs="Times New Roman"/>
                <w:b/>
                <w:bCs/>
              </w:rPr>
              <w:t>Tax Advisory &amp; Compliance</w:t>
            </w:r>
          </w:p>
        </w:tc>
        <w:tc>
          <w:tcPr>
            <w:tcW w:w="6639" w:type="dxa"/>
            <w:shd w:val="clear" w:color="auto" w:fill="FFFFFF"/>
            <w:tcMar>
              <w:top w:w="100" w:type="dxa"/>
              <w:left w:w="120" w:type="dxa"/>
              <w:bottom w:w="100" w:type="dxa"/>
              <w:right w:w="120" w:type="dxa"/>
            </w:tcMar>
          </w:tcPr>
          <w:p w14:paraId="6D0494A8">
            <w:pPr>
              <w:pStyle w:val="16"/>
              <w:numPr>
                <w:ilvl w:val="0"/>
                <w:numId w:val="1"/>
              </w:numPr>
              <w:spacing w:after="40"/>
              <w:rPr>
                <w:rFonts w:hint="default" w:ascii="Times New Roman" w:hAnsi="Times New Roman" w:cs="Times New Roman"/>
              </w:rPr>
            </w:pPr>
            <w:r>
              <w:rPr>
                <w:rFonts w:hint="default" w:ascii="Times New Roman" w:hAnsi="Times New Roman" w:cs="Times New Roman"/>
              </w:rPr>
              <w:t>Corporate and individual tax planning</w:t>
            </w:r>
          </w:p>
          <w:p w14:paraId="1ED5134F">
            <w:pPr>
              <w:pStyle w:val="16"/>
              <w:numPr>
                <w:ilvl w:val="0"/>
                <w:numId w:val="1"/>
              </w:numPr>
              <w:spacing w:after="40"/>
              <w:rPr>
                <w:rFonts w:hint="default" w:ascii="Times New Roman" w:hAnsi="Times New Roman" w:cs="Times New Roman"/>
              </w:rPr>
            </w:pPr>
            <w:r>
              <w:rPr>
                <w:rFonts w:hint="default" w:ascii="Times New Roman" w:hAnsi="Times New Roman" w:cs="Times New Roman"/>
              </w:rPr>
              <w:t>VAT registration, returns and compliance</w:t>
            </w:r>
          </w:p>
          <w:p w14:paraId="23726F23">
            <w:pPr>
              <w:pStyle w:val="16"/>
              <w:numPr>
                <w:ilvl w:val="0"/>
                <w:numId w:val="1"/>
              </w:numPr>
              <w:spacing w:after="40"/>
              <w:rPr>
                <w:rFonts w:hint="default" w:ascii="Times New Roman" w:hAnsi="Times New Roman" w:cs="Times New Roman"/>
              </w:rPr>
            </w:pPr>
            <w:r>
              <w:rPr>
                <w:rFonts w:hint="default" w:ascii="Times New Roman" w:hAnsi="Times New Roman" w:cs="Times New Roman"/>
              </w:rPr>
              <w:t>Withholding tax, exemption certificates and dispute resolution</w:t>
            </w:r>
          </w:p>
          <w:p w14:paraId="67952773">
            <w:pPr>
              <w:pStyle w:val="16"/>
              <w:numPr>
                <w:ilvl w:val="0"/>
                <w:numId w:val="1"/>
              </w:numPr>
              <w:spacing w:after="40"/>
              <w:rPr>
                <w:rFonts w:hint="default" w:ascii="Times New Roman" w:hAnsi="Times New Roman" w:cs="Times New Roman"/>
              </w:rPr>
            </w:pPr>
            <w:r>
              <w:rPr>
                <w:rFonts w:hint="default" w:ascii="Times New Roman" w:hAnsi="Times New Roman" w:cs="Times New Roman"/>
              </w:rPr>
              <w:t>Tax audit assistance and NBR compliance support</w:t>
            </w:r>
          </w:p>
        </w:tc>
      </w:tr>
      <w:tr w14:paraId="0BDFC4D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c>
          <w:tcPr>
            <w:tcW w:w="3000" w:type="dxa"/>
            <w:shd w:val="clear" w:color="auto" w:fill="F2F2F2"/>
            <w:tcMar>
              <w:top w:w="100" w:type="dxa"/>
              <w:left w:w="120" w:type="dxa"/>
              <w:bottom w:w="100" w:type="dxa"/>
              <w:right w:w="120" w:type="dxa"/>
            </w:tcMar>
          </w:tcPr>
          <w:p w14:paraId="27DE275A">
            <w:pPr>
              <w:rPr>
                <w:rFonts w:hint="default" w:ascii="Times New Roman" w:hAnsi="Times New Roman" w:cs="Times New Roman"/>
              </w:rPr>
            </w:pPr>
            <w:r>
              <w:rPr>
                <w:rFonts w:hint="default" w:ascii="Times New Roman" w:hAnsi="Times New Roman" w:cs="Times New Roman"/>
                <w:b/>
                <w:bCs/>
              </w:rPr>
              <w:t>Payroll &amp; HR Compliance Support</w:t>
            </w:r>
          </w:p>
        </w:tc>
        <w:tc>
          <w:tcPr>
            <w:tcW w:w="6639" w:type="dxa"/>
            <w:shd w:val="clear" w:color="auto" w:fill="F2F2F2"/>
            <w:tcMar>
              <w:top w:w="100" w:type="dxa"/>
              <w:left w:w="120" w:type="dxa"/>
              <w:bottom w:w="100" w:type="dxa"/>
              <w:right w:w="120" w:type="dxa"/>
            </w:tcMar>
          </w:tcPr>
          <w:p w14:paraId="5DC64073">
            <w:pPr>
              <w:pStyle w:val="16"/>
              <w:numPr>
                <w:ilvl w:val="0"/>
                <w:numId w:val="1"/>
              </w:numPr>
              <w:spacing w:after="40"/>
              <w:rPr>
                <w:rFonts w:hint="default" w:ascii="Times New Roman" w:hAnsi="Times New Roman" w:cs="Times New Roman"/>
              </w:rPr>
            </w:pPr>
            <w:r>
              <w:rPr>
                <w:rFonts w:hint="default" w:ascii="Times New Roman" w:hAnsi="Times New Roman" w:cs="Times New Roman"/>
              </w:rPr>
              <w:t>End-to-end payroll processing and salary structure design</w:t>
            </w:r>
          </w:p>
          <w:p w14:paraId="30FD9F95">
            <w:pPr>
              <w:pStyle w:val="16"/>
              <w:numPr>
                <w:ilvl w:val="0"/>
                <w:numId w:val="1"/>
              </w:numPr>
              <w:spacing w:after="40"/>
              <w:rPr>
                <w:rFonts w:hint="default" w:ascii="Times New Roman" w:hAnsi="Times New Roman" w:cs="Times New Roman"/>
              </w:rPr>
            </w:pPr>
            <w:r>
              <w:rPr>
                <w:rFonts w:hint="default" w:ascii="Times New Roman" w:hAnsi="Times New Roman" w:cs="Times New Roman"/>
              </w:rPr>
              <w:t>Attendance, leave and benefits administration</w:t>
            </w:r>
          </w:p>
          <w:p w14:paraId="535269C3">
            <w:pPr>
              <w:pStyle w:val="16"/>
              <w:numPr>
                <w:ilvl w:val="0"/>
                <w:numId w:val="1"/>
              </w:numPr>
              <w:spacing w:after="40"/>
              <w:rPr>
                <w:rFonts w:hint="default" w:ascii="Times New Roman" w:hAnsi="Times New Roman" w:cs="Times New Roman"/>
              </w:rPr>
            </w:pPr>
            <w:r>
              <w:rPr>
                <w:rFonts w:hint="default" w:ascii="Times New Roman" w:hAnsi="Times New Roman" w:cs="Times New Roman"/>
              </w:rPr>
              <w:t>Provident fund &amp; gratuity management</w:t>
            </w:r>
          </w:p>
          <w:p w14:paraId="45A0837F">
            <w:pPr>
              <w:pStyle w:val="16"/>
              <w:numPr>
                <w:ilvl w:val="0"/>
                <w:numId w:val="1"/>
              </w:numPr>
              <w:spacing w:after="40"/>
              <w:rPr>
                <w:rFonts w:hint="default" w:ascii="Times New Roman" w:hAnsi="Times New Roman" w:cs="Times New Roman"/>
              </w:rPr>
            </w:pPr>
            <w:r>
              <w:rPr>
                <w:rFonts w:hint="default" w:ascii="Times New Roman" w:hAnsi="Times New Roman" w:cs="Times New Roman"/>
              </w:rPr>
              <w:t>HR policy development, recruitment support and employee handbook preparation</w:t>
            </w:r>
          </w:p>
        </w:tc>
      </w:tr>
      <w:tr w14:paraId="1139028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c>
          <w:tcPr>
            <w:tcW w:w="3000" w:type="dxa"/>
            <w:shd w:val="clear" w:color="auto" w:fill="FFFFFF"/>
            <w:tcMar>
              <w:top w:w="100" w:type="dxa"/>
              <w:left w:w="120" w:type="dxa"/>
              <w:bottom w:w="100" w:type="dxa"/>
              <w:right w:w="120" w:type="dxa"/>
            </w:tcMar>
          </w:tcPr>
          <w:p w14:paraId="0783E8E7">
            <w:pPr>
              <w:rPr>
                <w:rFonts w:hint="default" w:ascii="Times New Roman" w:hAnsi="Times New Roman" w:cs="Times New Roman"/>
              </w:rPr>
            </w:pPr>
            <w:r>
              <w:rPr>
                <w:rFonts w:hint="default" w:ascii="Times New Roman" w:hAnsi="Times New Roman" w:cs="Times New Roman"/>
                <w:b/>
                <w:bCs/>
              </w:rPr>
              <w:t>Corporate Secretarial Services</w:t>
            </w:r>
          </w:p>
        </w:tc>
        <w:tc>
          <w:tcPr>
            <w:tcW w:w="6639" w:type="dxa"/>
            <w:shd w:val="clear" w:color="auto" w:fill="FFFFFF"/>
            <w:tcMar>
              <w:top w:w="100" w:type="dxa"/>
              <w:left w:w="120" w:type="dxa"/>
              <w:bottom w:w="100" w:type="dxa"/>
              <w:right w:w="120" w:type="dxa"/>
            </w:tcMar>
          </w:tcPr>
          <w:p w14:paraId="22D52FA0">
            <w:pPr>
              <w:pStyle w:val="16"/>
              <w:numPr>
                <w:ilvl w:val="0"/>
                <w:numId w:val="1"/>
              </w:numPr>
              <w:spacing w:after="40"/>
              <w:rPr>
                <w:rFonts w:hint="default" w:ascii="Times New Roman" w:hAnsi="Times New Roman" w:cs="Times New Roman"/>
              </w:rPr>
            </w:pPr>
            <w:r>
              <w:rPr>
                <w:rFonts w:hint="default" w:ascii="Times New Roman" w:hAnsi="Times New Roman" w:cs="Times New Roman"/>
              </w:rPr>
              <w:t>Board resolution preparation and share transfer documentation</w:t>
            </w:r>
          </w:p>
          <w:p w14:paraId="28157FD2">
            <w:pPr>
              <w:pStyle w:val="16"/>
              <w:numPr>
                <w:ilvl w:val="0"/>
                <w:numId w:val="1"/>
              </w:numPr>
              <w:spacing w:after="40"/>
              <w:rPr>
                <w:rFonts w:hint="default" w:ascii="Times New Roman" w:hAnsi="Times New Roman" w:cs="Times New Roman"/>
              </w:rPr>
            </w:pPr>
            <w:r>
              <w:rPr>
                <w:rFonts w:hint="default" w:ascii="Times New Roman" w:hAnsi="Times New Roman" w:cs="Times New Roman"/>
              </w:rPr>
              <w:t>Annual return filing and statutory compliance management</w:t>
            </w:r>
          </w:p>
          <w:p w14:paraId="02EC7CB0">
            <w:pPr>
              <w:pStyle w:val="16"/>
              <w:numPr>
                <w:ilvl w:val="0"/>
                <w:numId w:val="1"/>
              </w:numPr>
              <w:spacing w:after="40"/>
              <w:rPr>
                <w:rFonts w:hint="default" w:ascii="Times New Roman" w:hAnsi="Times New Roman" w:cs="Times New Roman"/>
              </w:rPr>
            </w:pPr>
            <w:r>
              <w:rPr>
                <w:rFonts w:hint="default" w:ascii="Times New Roman" w:hAnsi="Times New Roman" w:cs="Times New Roman"/>
              </w:rPr>
              <w:t>Corporate documentation support</w:t>
            </w:r>
          </w:p>
        </w:tc>
      </w:tr>
      <w:tr w14:paraId="7EC0877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c>
          <w:tcPr>
            <w:tcW w:w="3000" w:type="dxa"/>
            <w:shd w:val="clear" w:color="auto" w:fill="F2F2F2"/>
            <w:tcMar>
              <w:top w:w="100" w:type="dxa"/>
              <w:left w:w="120" w:type="dxa"/>
              <w:bottom w:w="100" w:type="dxa"/>
              <w:right w:w="120" w:type="dxa"/>
            </w:tcMar>
          </w:tcPr>
          <w:p w14:paraId="21B1E151">
            <w:pPr>
              <w:rPr>
                <w:rFonts w:hint="default" w:ascii="Times New Roman" w:hAnsi="Times New Roman" w:cs="Times New Roman"/>
              </w:rPr>
            </w:pPr>
            <w:r>
              <w:rPr>
                <w:rFonts w:hint="default" w:ascii="Times New Roman" w:hAnsi="Times New Roman" w:cs="Times New Roman"/>
                <w:b/>
                <w:bCs/>
              </w:rPr>
              <w:t>Regulatory &amp; Legal Advisory</w:t>
            </w:r>
          </w:p>
        </w:tc>
        <w:tc>
          <w:tcPr>
            <w:tcW w:w="6639" w:type="dxa"/>
            <w:shd w:val="clear" w:color="auto" w:fill="F2F2F2"/>
            <w:tcMar>
              <w:top w:w="100" w:type="dxa"/>
              <w:left w:w="120" w:type="dxa"/>
              <w:bottom w:w="100" w:type="dxa"/>
              <w:right w:w="120" w:type="dxa"/>
            </w:tcMar>
          </w:tcPr>
          <w:p w14:paraId="27E81499">
            <w:pPr>
              <w:pStyle w:val="16"/>
              <w:numPr>
                <w:ilvl w:val="0"/>
                <w:numId w:val="1"/>
              </w:numPr>
              <w:spacing w:after="40"/>
              <w:rPr>
                <w:rFonts w:hint="default" w:ascii="Times New Roman" w:hAnsi="Times New Roman" w:cs="Times New Roman"/>
              </w:rPr>
            </w:pPr>
            <w:r>
              <w:rPr>
                <w:rFonts w:hint="default" w:ascii="Times New Roman" w:hAnsi="Times New Roman" w:cs="Times New Roman"/>
              </w:rPr>
              <w:t>Corporate law, contracts and agreement vetting</w:t>
            </w:r>
          </w:p>
          <w:p w14:paraId="7EE1FCEA">
            <w:pPr>
              <w:pStyle w:val="16"/>
              <w:numPr>
                <w:ilvl w:val="0"/>
                <w:numId w:val="1"/>
              </w:numPr>
              <w:spacing w:after="40"/>
              <w:rPr>
                <w:rFonts w:hint="default" w:ascii="Times New Roman" w:hAnsi="Times New Roman" w:cs="Times New Roman"/>
              </w:rPr>
            </w:pPr>
            <w:r>
              <w:rPr>
                <w:rFonts w:hint="default" w:ascii="Times New Roman" w:hAnsi="Times New Roman" w:cs="Times New Roman"/>
              </w:rPr>
              <w:t>Employment law, arbitration and dispute resolution</w:t>
            </w:r>
          </w:p>
          <w:p w14:paraId="411DDC84">
            <w:pPr>
              <w:pStyle w:val="16"/>
              <w:numPr>
                <w:ilvl w:val="0"/>
                <w:numId w:val="1"/>
              </w:numPr>
              <w:spacing w:after="40"/>
              <w:rPr>
                <w:rFonts w:hint="default" w:ascii="Times New Roman" w:hAnsi="Times New Roman" w:cs="Times New Roman"/>
              </w:rPr>
            </w:pPr>
            <w:r>
              <w:rPr>
                <w:rFonts w:hint="default" w:ascii="Times New Roman" w:hAnsi="Times New Roman" w:cs="Times New Roman"/>
              </w:rPr>
              <w:t>Business licensing, sectoral approvals and government liaison</w:t>
            </w:r>
          </w:p>
          <w:p w14:paraId="0FE14000">
            <w:pPr>
              <w:pStyle w:val="16"/>
              <w:numPr>
                <w:ilvl w:val="0"/>
                <w:numId w:val="1"/>
              </w:numPr>
              <w:spacing w:after="40"/>
              <w:rPr>
                <w:rFonts w:hint="default" w:ascii="Times New Roman" w:hAnsi="Times New Roman" w:cs="Times New Roman"/>
              </w:rPr>
            </w:pPr>
            <w:r>
              <w:rPr>
                <w:rFonts w:hint="default" w:ascii="Times New Roman" w:hAnsi="Times New Roman" w:cs="Times New Roman"/>
              </w:rPr>
              <w:t>Data protection, IP registration, and fintech/digital compliance advisory</w:t>
            </w:r>
          </w:p>
        </w:tc>
      </w:tr>
      <w:tr w14:paraId="0312384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c>
          <w:tcPr>
            <w:tcW w:w="3000" w:type="dxa"/>
            <w:shd w:val="clear" w:color="auto" w:fill="FFFFFF"/>
            <w:tcMar>
              <w:top w:w="100" w:type="dxa"/>
              <w:left w:w="120" w:type="dxa"/>
              <w:bottom w:w="100" w:type="dxa"/>
              <w:right w:w="120" w:type="dxa"/>
            </w:tcMar>
          </w:tcPr>
          <w:p w14:paraId="77D4CB93">
            <w:pPr>
              <w:rPr>
                <w:rFonts w:hint="default" w:ascii="Times New Roman" w:hAnsi="Times New Roman" w:cs="Times New Roman"/>
              </w:rPr>
            </w:pPr>
            <w:r>
              <w:rPr>
                <w:rFonts w:hint="default" w:ascii="Times New Roman" w:hAnsi="Times New Roman" w:cs="Times New Roman"/>
                <w:b/>
                <w:bCs/>
              </w:rPr>
              <w:t>Business Advisory</w:t>
            </w:r>
          </w:p>
        </w:tc>
        <w:tc>
          <w:tcPr>
            <w:tcW w:w="6639" w:type="dxa"/>
            <w:shd w:val="clear" w:color="auto" w:fill="FFFFFF"/>
            <w:tcMar>
              <w:top w:w="100" w:type="dxa"/>
              <w:left w:w="120" w:type="dxa"/>
              <w:bottom w:w="100" w:type="dxa"/>
              <w:right w:w="120" w:type="dxa"/>
            </w:tcMar>
          </w:tcPr>
          <w:p w14:paraId="6A2DDF5A">
            <w:pPr>
              <w:pStyle w:val="16"/>
              <w:numPr>
                <w:ilvl w:val="0"/>
                <w:numId w:val="1"/>
              </w:numPr>
              <w:spacing w:after="40"/>
              <w:rPr>
                <w:rFonts w:hint="default" w:ascii="Times New Roman" w:hAnsi="Times New Roman" w:cs="Times New Roman"/>
              </w:rPr>
            </w:pPr>
            <w:r>
              <w:rPr>
                <w:rFonts w:hint="default" w:ascii="Times New Roman" w:hAnsi="Times New Roman" w:cs="Times New Roman"/>
              </w:rPr>
              <w:t>Business process optimization and corporate strategy development</w:t>
            </w:r>
          </w:p>
          <w:p w14:paraId="53DAAB1C">
            <w:pPr>
              <w:pStyle w:val="16"/>
              <w:numPr>
                <w:ilvl w:val="0"/>
                <w:numId w:val="1"/>
              </w:numPr>
              <w:spacing w:after="40"/>
              <w:rPr>
                <w:rFonts w:hint="default" w:ascii="Times New Roman" w:hAnsi="Times New Roman" w:cs="Times New Roman"/>
              </w:rPr>
            </w:pPr>
            <w:r>
              <w:rPr>
                <w:rFonts w:hint="default" w:ascii="Times New Roman" w:hAnsi="Times New Roman" w:cs="Times New Roman"/>
              </w:rPr>
              <w:t>Market entry advisory for foreign investors</w:t>
            </w:r>
          </w:p>
          <w:p w14:paraId="7E5B115E">
            <w:pPr>
              <w:pStyle w:val="16"/>
              <w:numPr>
                <w:ilvl w:val="0"/>
                <w:numId w:val="1"/>
              </w:numPr>
              <w:spacing w:after="40"/>
              <w:rPr>
                <w:rFonts w:hint="default" w:ascii="Times New Roman" w:hAnsi="Times New Roman" w:cs="Times New Roman"/>
              </w:rPr>
            </w:pPr>
            <w:r>
              <w:rPr>
                <w:rFonts w:hint="default" w:ascii="Times New Roman" w:hAnsi="Times New Roman" w:cs="Times New Roman"/>
              </w:rPr>
              <w:t>Investor readiness support, business plans and financial modeling</w:t>
            </w:r>
          </w:p>
          <w:p w14:paraId="424F12D6">
            <w:pPr>
              <w:pStyle w:val="16"/>
              <w:numPr>
                <w:ilvl w:val="0"/>
                <w:numId w:val="1"/>
              </w:numPr>
              <w:spacing w:after="40"/>
              <w:rPr>
                <w:rFonts w:hint="default" w:ascii="Times New Roman" w:hAnsi="Times New Roman" w:cs="Times New Roman"/>
              </w:rPr>
            </w:pPr>
            <w:r>
              <w:rPr>
                <w:rFonts w:hint="default" w:ascii="Times New Roman" w:hAnsi="Times New Roman" w:cs="Times New Roman"/>
              </w:rPr>
              <w:t>Government tender management and application support</w:t>
            </w:r>
          </w:p>
        </w:tc>
      </w:tr>
    </w:tbl>
    <w:p w14:paraId="0E75DEA8">
      <w:pPr>
        <w:pStyle w:val="2"/>
        <w:pBdr>
          <w:bottom w:val="single" w:color="C0202E" w:sz="6" w:space="4"/>
        </w:pBdr>
        <w:spacing w:before="400" w:after="150"/>
      </w:pPr>
      <w:r>
        <w:rPr>
          <w:b/>
          <w:bCs/>
          <w:color w:val="1F2A44"/>
          <w:sz w:val="26"/>
          <w:szCs w:val="26"/>
        </w:rPr>
        <w:t>5. Industries We Serve Section</w:t>
      </w:r>
    </w:p>
    <w:tbl>
      <w:tblPr>
        <w:tblStyle w:val="9"/>
        <w:tblW w:w="9639"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 w:type="dxa"/>
          <w:bottom w:w="0" w:type="dxa"/>
          <w:right w:w="10" w:type="dxa"/>
        </w:tblCellMar>
      </w:tblPr>
      <w:tblGrid>
        <w:gridCol w:w="3000"/>
        <w:gridCol w:w="6639"/>
      </w:tblGrid>
      <w:tr w14:paraId="1E57EBD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blHeader/>
        </w:trPr>
        <w:tc>
          <w:tcPr>
            <w:tcW w:w="3000" w:type="dxa"/>
            <w:shd w:val="clear" w:color="auto" w:fill="1F2A44"/>
            <w:tcMar>
              <w:top w:w="100" w:type="dxa"/>
              <w:left w:w="120" w:type="dxa"/>
              <w:bottom w:w="100" w:type="dxa"/>
              <w:right w:w="120" w:type="dxa"/>
            </w:tcMar>
          </w:tcPr>
          <w:p w14:paraId="3D5B2A58">
            <w:pPr>
              <w:rPr>
                <w:rFonts w:hint="default" w:ascii="Times New Roman" w:hAnsi="Times New Roman" w:cs="Times New Roman"/>
              </w:rPr>
            </w:pPr>
            <w:r>
              <w:rPr>
                <w:rFonts w:hint="default" w:ascii="Times New Roman" w:hAnsi="Times New Roman" w:cs="Times New Roman"/>
                <w:b/>
                <w:bCs/>
                <w:color w:val="FFFFFF"/>
              </w:rPr>
              <w:t>Content Element</w:t>
            </w:r>
          </w:p>
        </w:tc>
        <w:tc>
          <w:tcPr>
            <w:tcW w:w="6639" w:type="dxa"/>
            <w:shd w:val="clear" w:color="auto" w:fill="1F2A44"/>
            <w:tcMar>
              <w:top w:w="100" w:type="dxa"/>
              <w:left w:w="120" w:type="dxa"/>
              <w:bottom w:w="100" w:type="dxa"/>
              <w:right w:w="120" w:type="dxa"/>
            </w:tcMar>
          </w:tcPr>
          <w:p w14:paraId="10BA6B01">
            <w:pPr>
              <w:rPr>
                <w:rFonts w:hint="default" w:ascii="Times New Roman" w:hAnsi="Times New Roman" w:cs="Times New Roman"/>
              </w:rPr>
            </w:pPr>
            <w:r>
              <w:rPr>
                <w:rFonts w:hint="default" w:ascii="Times New Roman" w:hAnsi="Times New Roman" w:cs="Times New Roman"/>
                <w:b/>
                <w:bCs/>
                <w:color w:val="FFFFFF"/>
              </w:rPr>
              <w:t>Client Input (Filled by Capwise)</w:t>
            </w:r>
          </w:p>
        </w:tc>
      </w:tr>
      <w:tr w14:paraId="2C9FEDC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c>
          <w:tcPr>
            <w:tcW w:w="3000" w:type="dxa"/>
            <w:shd w:val="clear" w:color="auto" w:fill="FFFFFF"/>
            <w:tcMar>
              <w:top w:w="100" w:type="dxa"/>
              <w:left w:w="120" w:type="dxa"/>
              <w:bottom w:w="100" w:type="dxa"/>
              <w:right w:w="120" w:type="dxa"/>
            </w:tcMar>
          </w:tcPr>
          <w:p w14:paraId="42391CF6">
            <w:pPr>
              <w:rPr>
                <w:rFonts w:hint="default" w:ascii="Times New Roman" w:hAnsi="Times New Roman" w:cs="Times New Roman"/>
              </w:rPr>
            </w:pPr>
            <w:r>
              <w:rPr>
                <w:rFonts w:hint="default" w:ascii="Times New Roman" w:hAnsi="Times New Roman" w:cs="Times New Roman"/>
                <w:b/>
                <w:bCs/>
              </w:rPr>
              <w:t>SMEs &amp; Startups</w:t>
            </w:r>
          </w:p>
        </w:tc>
        <w:tc>
          <w:tcPr>
            <w:tcW w:w="6639" w:type="dxa"/>
            <w:shd w:val="clear" w:color="auto" w:fill="FFFFFF"/>
            <w:tcMar>
              <w:top w:w="100" w:type="dxa"/>
              <w:left w:w="120" w:type="dxa"/>
              <w:bottom w:w="100" w:type="dxa"/>
              <w:right w:w="120" w:type="dxa"/>
            </w:tcMar>
          </w:tcPr>
          <w:p w14:paraId="0A20F412">
            <w:pPr>
              <w:spacing w:after="60"/>
              <w:rPr>
                <w:rFonts w:hint="default" w:ascii="Times New Roman" w:hAnsi="Times New Roman" w:cs="Times New Roman"/>
              </w:rPr>
            </w:pPr>
            <w:r>
              <w:rPr>
                <w:rFonts w:hint="default" w:ascii="Times New Roman" w:hAnsi="Times New Roman" w:cs="Times New Roman"/>
              </w:rPr>
              <w:t>From first registration to scaling operations, Capwise supports small and medium enterprises and early-stage startups with lean, affordable compliance, accounting and advisory packages tailored to growth-stage needs.</w:t>
            </w:r>
          </w:p>
        </w:tc>
      </w:tr>
      <w:tr w14:paraId="58E203E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c>
          <w:tcPr>
            <w:tcW w:w="3000" w:type="dxa"/>
            <w:shd w:val="clear" w:color="auto" w:fill="F2F2F2"/>
            <w:tcMar>
              <w:top w:w="100" w:type="dxa"/>
              <w:left w:w="120" w:type="dxa"/>
              <w:bottom w:w="100" w:type="dxa"/>
              <w:right w:w="120" w:type="dxa"/>
            </w:tcMar>
          </w:tcPr>
          <w:p w14:paraId="0CFE0CFF">
            <w:pPr>
              <w:rPr>
                <w:rFonts w:hint="default" w:ascii="Times New Roman" w:hAnsi="Times New Roman" w:cs="Times New Roman"/>
              </w:rPr>
            </w:pPr>
            <w:r>
              <w:rPr>
                <w:rFonts w:hint="default" w:ascii="Times New Roman" w:hAnsi="Times New Roman" w:cs="Times New Roman"/>
                <w:b/>
                <w:bCs/>
              </w:rPr>
              <w:t>Foreign Investors / Market Entrants</w:t>
            </w:r>
          </w:p>
        </w:tc>
        <w:tc>
          <w:tcPr>
            <w:tcW w:w="6639" w:type="dxa"/>
            <w:shd w:val="clear" w:color="auto" w:fill="F2F2F2"/>
            <w:tcMar>
              <w:top w:w="100" w:type="dxa"/>
              <w:left w:w="120" w:type="dxa"/>
              <w:bottom w:w="100" w:type="dxa"/>
              <w:right w:w="120" w:type="dxa"/>
            </w:tcMar>
          </w:tcPr>
          <w:p w14:paraId="7B702FAF">
            <w:pPr>
              <w:spacing w:after="60"/>
              <w:rPr>
                <w:rFonts w:hint="default" w:ascii="Times New Roman" w:hAnsi="Times New Roman" w:cs="Times New Roman"/>
              </w:rPr>
            </w:pPr>
            <w:r>
              <w:rPr>
                <w:rFonts w:hint="default" w:ascii="Times New Roman" w:hAnsi="Times New Roman" w:cs="Times New Roman"/>
              </w:rPr>
              <w:t>We guide foreign companies and investors through company/branch/liaison office setup, BIDA and Bangladesh Bank approvals, banking documentation, and ongoing regulatory liaison — making market entry into Bangladesh straightforward.</w:t>
            </w:r>
          </w:p>
        </w:tc>
      </w:tr>
      <w:tr w14:paraId="7189BF5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c>
          <w:tcPr>
            <w:tcW w:w="3000" w:type="dxa"/>
            <w:shd w:val="clear" w:color="auto" w:fill="FFFFFF"/>
            <w:tcMar>
              <w:top w:w="100" w:type="dxa"/>
              <w:left w:w="120" w:type="dxa"/>
              <w:bottom w:w="100" w:type="dxa"/>
              <w:right w:w="120" w:type="dxa"/>
            </w:tcMar>
          </w:tcPr>
          <w:p w14:paraId="3176AAFD">
            <w:pPr>
              <w:rPr>
                <w:rFonts w:hint="default" w:ascii="Times New Roman" w:hAnsi="Times New Roman" w:cs="Times New Roman"/>
              </w:rPr>
            </w:pPr>
            <w:r>
              <w:rPr>
                <w:rFonts w:hint="default" w:ascii="Times New Roman" w:hAnsi="Times New Roman" w:cs="Times New Roman"/>
                <w:b/>
                <w:bCs/>
              </w:rPr>
              <w:t>NGOs / Non-Profit Organizations</w:t>
            </w:r>
          </w:p>
        </w:tc>
        <w:tc>
          <w:tcPr>
            <w:tcW w:w="6639" w:type="dxa"/>
            <w:shd w:val="clear" w:color="auto" w:fill="FFFFFF"/>
            <w:tcMar>
              <w:top w:w="100" w:type="dxa"/>
              <w:left w:w="120" w:type="dxa"/>
              <w:bottom w:w="100" w:type="dxa"/>
              <w:right w:w="120" w:type="dxa"/>
            </w:tcMar>
          </w:tcPr>
          <w:p w14:paraId="75798AB6">
            <w:pPr>
              <w:spacing w:after="60"/>
              <w:rPr>
                <w:rFonts w:hint="default" w:ascii="Times New Roman" w:hAnsi="Times New Roman" w:cs="Times New Roman"/>
              </w:rPr>
            </w:pPr>
            <w:r>
              <w:rPr>
                <w:rFonts w:hint="default" w:ascii="Times New Roman" w:hAnsi="Times New Roman" w:cs="Times New Roman"/>
              </w:rPr>
              <w:t>Capwise assists NGOs and non-profits with registration, NGO Affairs Bureau compliance, financial reporting, and donor-fund audit support to maintain transparency and good standing.</w:t>
            </w:r>
          </w:p>
        </w:tc>
      </w:tr>
      <w:tr w14:paraId="7F81D26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c>
          <w:tcPr>
            <w:tcW w:w="3000" w:type="dxa"/>
            <w:shd w:val="clear" w:color="auto" w:fill="F2F2F2"/>
            <w:tcMar>
              <w:top w:w="100" w:type="dxa"/>
              <w:left w:w="120" w:type="dxa"/>
              <w:bottom w:w="100" w:type="dxa"/>
              <w:right w:w="120" w:type="dxa"/>
            </w:tcMar>
          </w:tcPr>
          <w:p w14:paraId="198E45F1">
            <w:pPr>
              <w:rPr>
                <w:rFonts w:hint="default" w:ascii="Times New Roman" w:hAnsi="Times New Roman" w:cs="Times New Roman"/>
              </w:rPr>
            </w:pPr>
            <w:r>
              <w:rPr>
                <w:rFonts w:hint="default" w:ascii="Times New Roman" w:hAnsi="Times New Roman" w:cs="Times New Roman"/>
                <w:b/>
                <w:bCs/>
              </w:rPr>
              <w:t>Manufacturing / RMG</w:t>
            </w:r>
          </w:p>
        </w:tc>
        <w:tc>
          <w:tcPr>
            <w:tcW w:w="6639" w:type="dxa"/>
            <w:shd w:val="clear" w:color="auto" w:fill="F2F2F2"/>
            <w:tcMar>
              <w:top w:w="100" w:type="dxa"/>
              <w:left w:w="120" w:type="dxa"/>
              <w:bottom w:w="100" w:type="dxa"/>
              <w:right w:w="120" w:type="dxa"/>
            </w:tcMar>
          </w:tcPr>
          <w:p w14:paraId="6B968068">
            <w:pPr>
              <w:spacing w:after="60"/>
              <w:rPr>
                <w:rFonts w:hint="default" w:ascii="Times New Roman" w:hAnsi="Times New Roman" w:cs="Times New Roman"/>
              </w:rPr>
            </w:pPr>
            <w:r>
              <w:rPr>
                <w:rFonts w:hint="default" w:ascii="Times New Roman" w:hAnsi="Times New Roman" w:cs="Times New Roman"/>
              </w:rPr>
              <w:t>We support manufacturing and RMG businesses with factory establishment approvals, environmental clearances, import/export compliance, labour law adherence, and sector-specific licensing.</w:t>
            </w:r>
          </w:p>
        </w:tc>
      </w:tr>
      <w:tr w14:paraId="5A61633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c>
          <w:tcPr>
            <w:tcW w:w="3000" w:type="dxa"/>
            <w:shd w:val="clear" w:color="auto" w:fill="FFFFFF"/>
            <w:tcMar>
              <w:top w:w="100" w:type="dxa"/>
              <w:left w:w="120" w:type="dxa"/>
              <w:bottom w:w="100" w:type="dxa"/>
              <w:right w:w="120" w:type="dxa"/>
            </w:tcMar>
          </w:tcPr>
          <w:p w14:paraId="6F02E33B">
            <w:pPr>
              <w:rPr>
                <w:rFonts w:hint="default" w:ascii="Times New Roman" w:hAnsi="Times New Roman" w:cs="Times New Roman"/>
              </w:rPr>
            </w:pPr>
            <w:r>
              <w:rPr>
                <w:rFonts w:hint="default" w:ascii="Times New Roman" w:hAnsi="Times New Roman" w:cs="Times New Roman"/>
                <w:b/>
                <w:bCs/>
              </w:rPr>
              <w:t>Trading Companies</w:t>
            </w:r>
          </w:p>
        </w:tc>
        <w:tc>
          <w:tcPr>
            <w:tcW w:w="6639" w:type="dxa"/>
            <w:shd w:val="clear" w:color="auto" w:fill="FFFFFF"/>
            <w:tcMar>
              <w:top w:w="100" w:type="dxa"/>
              <w:left w:w="120" w:type="dxa"/>
              <w:bottom w:w="100" w:type="dxa"/>
              <w:right w:w="120" w:type="dxa"/>
            </w:tcMar>
          </w:tcPr>
          <w:p w14:paraId="77623F01">
            <w:pPr>
              <w:spacing w:after="60"/>
              <w:rPr>
                <w:rFonts w:hint="default" w:ascii="Times New Roman" w:hAnsi="Times New Roman" w:cs="Times New Roman"/>
              </w:rPr>
            </w:pPr>
            <w:r>
              <w:rPr>
                <w:rFonts w:hint="default" w:ascii="Times New Roman" w:hAnsi="Times New Roman" w:cs="Times New Roman"/>
              </w:rPr>
              <w:t>For import/export and trading businesses, Capwise handles IRC/ERC licensing, LC and trade finance documentation, customs-related compliance, and banking liaison for smooth cross-border transactions.</w:t>
            </w:r>
          </w:p>
        </w:tc>
      </w:tr>
    </w:tbl>
    <w:p w14:paraId="6825F5C6">
      <w:pPr>
        <w:pStyle w:val="2"/>
        <w:pBdr>
          <w:bottom w:val="single" w:color="C0202E" w:sz="6" w:space="4"/>
        </w:pBdr>
        <w:spacing w:before="400" w:after="150"/>
      </w:pPr>
      <w:r>
        <w:rPr>
          <w:b/>
          <w:bCs/>
          <w:color w:val="1F2A44"/>
          <w:sz w:val="26"/>
          <w:szCs w:val="26"/>
        </w:rPr>
        <w:t>6. Blog / Article Section</w:t>
      </w:r>
    </w:p>
    <w:tbl>
      <w:tblPr>
        <w:tblStyle w:val="9"/>
        <w:tblW w:w="9639"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 w:type="dxa"/>
          <w:bottom w:w="0" w:type="dxa"/>
          <w:right w:w="10" w:type="dxa"/>
        </w:tblCellMar>
      </w:tblPr>
      <w:tblGrid>
        <w:gridCol w:w="3000"/>
        <w:gridCol w:w="6639"/>
      </w:tblGrid>
      <w:tr w14:paraId="722ACCF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blHeader/>
        </w:trPr>
        <w:tc>
          <w:tcPr>
            <w:tcW w:w="3000" w:type="dxa"/>
            <w:shd w:val="clear" w:color="auto" w:fill="1F2A44"/>
            <w:tcMar>
              <w:top w:w="100" w:type="dxa"/>
              <w:left w:w="120" w:type="dxa"/>
              <w:bottom w:w="100" w:type="dxa"/>
              <w:right w:w="120" w:type="dxa"/>
            </w:tcMar>
          </w:tcPr>
          <w:p w14:paraId="34CECB92">
            <w:pPr>
              <w:rPr>
                <w:rFonts w:hint="default" w:ascii="Times New Roman" w:hAnsi="Times New Roman" w:cs="Times New Roman"/>
              </w:rPr>
            </w:pPr>
            <w:r>
              <w:rPr>
                <w:rFonts w:hint="default" w:ascii="Times New Roman" w:hAnsi="Times New Roman" w:cs="Times New Roman"/>
                <w:b/>
                <w:bCs/>
                <w:color w:val="FFFFFF"/>
              </w:rPr>
              <w:t>Content Element</w:t>
            </w:r>
          </w:p>
        </w:tc>
        <w:tc>
          <w:tcPr>
            <w:tcW w:w="6639" w:type="dxa"/>
            <w:shd w:val="clear" w:color="auto" w:fill="1F2A44"/>
            <w:tcMar>
              <w:top w:w="100" w:type="dxa"/>
              <w:left w:w="120" w:type="dxa"/>
              <w:bottom w:w="100" w:type="dxa"/>
              <w:right w:w="120" w:type="dxa"/>
            </w:tcMar>
          </w:tcPr>
          <w:p w14:paraId="001105C8">
            <w:pPr>
              <w:rPr>
                <w:rFonts w:hint="default" w:ascii="Times New Roman" w:hAnsi="Times New Roman" w:cs="Times New Roman"/>
              </w:rPr>
            </w:pPr>
            <w:r>
              <w:rPr>
                <w:rFonts w:hint="default" w:ascii="Times New Roman" w:hAnsi="Times New Roman" w:cs="Times New Roman"/>
                <w:b/>
                <w:bCs/>
                <w:color w:val="FFFFFF"/>
              </w:rPr>
              <w:t>Client Input (Filled by Capwise)</w:t>
            </w:r>
          </w:p>
        </w:tc>
      </w:tr>
      <w:tr w14:paraId="5920FC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c>
          <w:tcPr>
            <w:tcW w:w="3000" w:type="dxa"/>
            <w:shd w:val="clear" w:color="auto" w:fill="FFFFFF"/>
            <w:tcMar>
              <w:top w:w="100" w:type="dxa"/>
              <w:left w:w="120" w:type="dxa"/>
              <w:bottom w:w="100" w:type="dxa"/>
              <w:right w:w="120" w:type="dxa"/>
            </w:tcMar>
          </w:tcPr>
          <w:p w14:paraId="6E34016C">
            <w:pPr>
              <w:rPr>
                <w:rFonts w:hint="default" w:ascii="Times New Roman" w:hAnsi="Times New Roman" w:cs="Times New Roman"/>
              </w:rPr>
            </w:pPr>
            <w:r>
              <w:rPr>
                <w:rFonts w:hint="default" w:ascii="Times New Roman" w:hAnsi="Times New Roman" w:cs="Times New Roman"/>
                <w:b/>
                <w:bCs/>
              </w:rPr>
              <w:t>FAQ's Section (Question &amp; Answer pairs)</w:t>
            </w:r>
          </w:p>
        </w:tc>
        <w:tc>
          <w:tcPr>
            <w:tcW w:w="6639" w:type="dxa"/>
            <w:shd w:val="clear" w:color="auto" w:fill="FFFFFF"/>
            <w:tcMar>
              <w:top w:w="100" w:type="dxa"/>
              <w:left w:w="120" w:type="dxa"/>
              <w:bottom w:w="100" w:type="dxa"/>
              <w:right w:w="120" w:type="dxa"/>
            </w:tcMar>
          </w:tcPr>
          <w:p w14:paraId="78000E39">
            <w:pPr>
              <w:spacing w:after="60"/>
              <w:rPr>
                <w:rFonts w:hint="default" w:ascii="Times New Roman" w:hAnsi="Times New Roman" w:cs="Times New Roman"/>
              </w:rPr>
            </w:pPr>
            <w:r>
              <w:rPr>
                <w:rFonts w:hint="default" w:ascii="Times New Roman" w:hAnsi="Times New Roman" w:cs="Times New Roman"/>
                <w:b/>
                <w:bCs/>
              </w:rPr>
              <w:t xml:space="preserve">Q: How long does it take to register a company in Bangladesh? </w:t>
            </w:r>
            <w:r>
              <w:rPr>
                <w:rFonts w:hint="default" w:ascii="Times New Roman" w:hAnsi="Times New Roman" w:cs="Times New Roman"/>
              </w:rPr>
              <w:t>A: Timelines vary by entity type, but Capwise streamlines name clearance, RJSC filing and post-incorporation registrations (TIN, BIN, trade license) to get clients operational as quickly as possible.</w:t>
            </w:r>
          </w:p>
          <w:p w14:paraId="73F69E3A">
            <w:pPr>
              <w:spacing w:after="60"/>
              <w:rPr>
                <w:rFonts w:hint="default" w:ascii="Times New Roman" w:hAnsi="Times New Roman" w:cs="Times New Roman"/>
              </w:rPr>
            </w:pPr>
            <w:r>
              <w:rPr>
                <w:rFonts w:hint="default" w:ascii="Times New Roman" w:hAnsi="Times New Roman" w:cs="Times New Roman"/>
                <w:b/>
                <w:bCs/>
              </w:rPr>
              <w:t xml:space="preserve">Q: Do I need a local partner to set up a business in Bangladesh as a foreign investor? </w:t>
            </w:r>
            <w:r>
              <w:rPr>
                <w:rFonts w:hint="default" w:ascii="Times New Roman" w:hAnsi="Times New Roman" w:cs="Times New Roman"/>
              </w:rPr>
              <w:t>A: Not always — options include a wholly foreign-owned private limited company, joint venture, or branch/liaison office, depending on your sector and objectives. Capwise advises on the best-fit structure.</w:t>
            </w:r>
          </w:p>
          <w:p w14:paraId="55C4BB30">
            <w:pPr>
              <w:spacing w:after="60"/>
              <w:rPr>
                <w:rFonts w:hint="default" w:ascii="Times New Roman" w:hAnsi="Times New Roman" w:cs="Times New Roman"/>
              </w:rPr>
            </w:pPr>
            <w:r>
              <w:rPr>
                <w:rFonts w:hint="default" w:ascii="Times New Roman" w:hAnsi="Times New Roman" w:cs="Times New Roman"/>
                <w:b/>
                <w:bCs/>
              </w:rPr>
              <w:t xml:space="preserve">Q: What ongoing compliance is required after incorporation? </w:t>
            </w:r>
            <w:r>
              <w:rPr>
                <w:rFonts w:hint="default" w:ascii="Times New Roman" w:hAnsi="Times New Roman" w:cs="Times New Roman"/>
              </w:rPr>
              <w:t>A: Annual RJSC filings, tax and VAT returns, statutory audits, and labour law compliance, among others — Capwise's retainer service covers these on an ongoing basis.</w:t>
            </w:r>
          </w:p>
          <w:p w14:paraId="79B24C31">
            <w:pPr>
              <w:spacing w:after="60"/>
              <w:rPr>
                <w:rFonts w:hint="default" w:ascii="Times New Roman" w:hAnsi="Times New Roman" w:cs="Times New Roman"/>
              </w:rPr>
            </w:pPr>
            <w:r>
              <w:rPr>
                <w:rFonts w:hint="default" w:ascii="Times New Roman" w:hAnsi="Times New Roman" w:cs="Times New Roman"/>
                <w:b/>
                <w:bCs/>
              </w:rPr>
              <w:t xml:space="preserve">Q: Can Capwise help with VAT and tax disputes with NBR? </w:t>
            </w:r>
            <w:r>
              <w:rPr>
                <w:rFonts w:hint="default" w:ascii="Times New Roman" w:hAnsi="Times New Roman" w:cs="Times New Roman"/>
              </w:rPr>
              <w:t>A: Yes — our team has direct experience handling exemption certificates, tax litigation, and liaison with NBR officials to resolve disputes efficiently.</w:t>
            </w:r>
          </w:p>
          <w:p w14:paraId="61BC1218">
            <w:pPr>
              <w:spacing w:after="60"/>
              <w:rPr>
                <w:rFonts w:hint="default" w:ascii="Times New Roman" w:hAnsi="Times New Roman" w:cs="Times New Roman"/>
              </w:rPr>
            </w:pPr>
            <w:r>
              <w:rPr>
                <w:rFonts w:hint="default" w:ascii="Times New Roman" w:hAnsi="Times New Roman" w:cs="Times New Roman"/>
                <w:i/>
                <w:iCs/>
                <w:color w:val="595959"/>
                <w:sz w:val="20"/>
                <w:szCs w:val="20"/>
              </w:rPr>
              <w:t>Additional FAQs should be added based on the most common questions Capwise's sales/consultation team actually receives.</w:t>
            </w:r>
          </w:p>
        </w:tc>
      </w:tr>
      <w:tr w14:paraId="79AB17A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c>
          <w:tcPr>
            <w:tcW w:w="3000" w:type="dxa"/>
            <w:shd w:val="clear" w:color="auto" w:fill="F2F2F2"/>
            <w:tcMar>
              <w:top w:w="100" w:type="dxa"/>
              <w:left w:w="120" w:type="dxa"/>
              <w:bottom w:w="100" w:type="dxa"/>
              <w:right w:w="120" w:type="dxa"/>
            </w:tcMar>
          </w:tcPr>
          <w:p w14:paraId="0A102179">
            <w:pPr>
              <w:rPr>
                <w:rFonts w:hint="default" w:ascii="Times New Roman" w:hAnsi="Times New Roman" w:cs="Times New Roman"/>
              </w:rPr>
            </w:pPr>
            <w:r>
              <w:rPr>
                <w:rFonts w:hint="default" w:ascii="Times New Roman" w:hAnsi="Times New Roman" w:cs="Times New Roman"/>
                <w:b/>
                <w:bCs/>
              </w:rPr>
              <w:t>Downloadable Guides &amp; Checklists (optional)</w:t>
            </w:r>
          </w:p>
        </w:tc>
        <w:tc>
          <w:tcPr>
            <w:tcW w:w="6639" w:type="dxa"/>
            <w:shd w:val="clear" w:color="auto" w:fill="F2F2F2"/>
            <w:tcMar>
              <w:top w:w="100" w:type="dxa"/>
              <w:left w:w="120" w:type="dxa"/>
              <w:bottom w:w="100" w:type="dxa"/>
              <w:right w:w="120" w:type="dxa"/>
            </w:tcMar>
          </w:tcPr>
          <w:p w14:paraId="37974F81">
            <w:pPr>
              <w:spacing w:after="60"/>
              <w:rPr>
                <w:rFonts w:hint="default" w:ascii="Times New Roman" w:hAnsi="Times New Roman" w:cs="Times New Roman"/>
              </w:rPr>
            </w:pPr>
            <w:r>
              <w:rPr>
                <w:rFonts w:hint="default" w:ascii="Times New Roman" w:hAnsi="Times New Roman" w:cs="Times New Roman"/>
                <w:i/>
                <w:iCs/>
                <w:color w:val="595959"/>
                <w:sz w:val="20"/>
                <w:szCs w:val="20"/>
              </w:rPr>
              <w:t>Needs Client Confirmation — no guides currently exist. Suggested starter titles: "Company Registration Checklist for Bangladesh," "VAT &amp; Tax Compliance Calendar," and "Foreign Investor's Market Entry Guide." Capwise can supply source content and MARAQO can design the downloadable PDFs.</w:t>
            </w:r>
          </w:p>
        </w:tc>
      </w:tr>
    </w:tbl>
    <w:p w14:paraId="757FE935">
      <w:pPr>
        <w:pStyle w:val="2"/>
        <w:pBdr>
          <w:bottom w:val="single" w:color="C0202E" w:sz="6" w:space="4"/>
        </w:pBdr>
        <w:spacing w:before="400" w:after="150"/>
      </w:pPr>
      <w:r>
        <w:rPr>
          <w:b/>
          <w:bCs/>
          <w:color w:val="1F2A44"/>
          <w:sz w:val="26"/>
          <w:szCs w:val="26"/>
        </w:rPr>
        <w:t>7. Contact Us Section</w:t>
      </w:r>
    </w:p>
    <w:tbl>
      <w:tblPr>
        <w:tblStyle w:val="9"/>
        <w:tblW w:w="9639"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 w:type="dxa"/>
          <w:bottom w:w="0" w:type="dxa"/>
          <w:right w:w="10" w:type="dxa"/>
        </w:tblCellMar>
      </w:tblPr>
      <w:tblGrid>
        <w:gridCol w:w="3000"/>
        <w:gridCol w:w="6639"/>
      </w:tblGrid>
      <w:tr w14:paraId="3E518A1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tblHeader/>
        </w:trPr>
        <w:tc>
          <w:tcPr>
            <w:tcW w:w="3000" w:type="dxa"/>
            <w:shd w:val="clear" w:color="auto" w:fill="1F2A44"/>
            <w:tcMar>
              <w:top w:w="100" w:type="dxa"/>
              <w:left w:w="120" w:type="dxa"/>
              <w:bottom w:w="100" w:type="dxa"/>
              <w:right w:w="120" w:type="dxa"/>
            </w:tcMar>
          </w:tcPr>
          <w:p w14:paraId="57E85BE8">
            <w:pPr>
              <w:rPr>
                <w:rFonts w:hint="default" w:ascii="Times New Roman" w:hAnsi="Times New Roman" w:cs="Times New Roman"/>
              </w:rPr>
            </w:pPr>
            <w:r>
              <w:rPr>
                <w:rFonts w:hint="default" w:ascii="Times New Roman" w:hAnsi="Times New Roman" w:cs="Times New Roman"/>
                <w:b/>
                <w:bCs/>
                <w:color w:val="FFFFFF"/>
              </w:rPr>
              <w:t>Content Element</w:t>
            </w:r>
          </w:p>
        </w:tc>
        <w:tc>
          <w:tcPr>
            <w:tcW w:w="6639" w:type="dxa"/>
            <w:shd w:val="clear" w:color="auto" w:fill="1F2A44"/>
            <w:tcMar>
              <w:top w:w="100" w:type="dxa"/>
              <w:left w:w="120" w:type="dxa"/>
              <w:bottom w:w="100" w:type="dxa"/>
              <w:right w:w="120" w:type="dxa"/>
            </w:tcMar>
          </w:tcPr>
          <w:p w14:paraId="6C123842">
            <w:pPr>
              <w:rPr>
                <w:rFonts w:hint="default" w:ascii="Times New Roman" w:hAnsi="Times New Roman" w:cs="Times New Roman"/>
              </w:rPr>
            </w:pPr>
            <w:r>
              <w:rPr>
                <w:rFonts w:hint="default" w:ascii="Times New Roman" w:hAnsi="Times New Roman" w:cs="Times New Roman"/>
                <w:b/>
                <w:bCs/>
                <w:color w:val="FFFFFF"/>
              </w:rPr>
              <w:t>Client Input (Filled by Capwise)</w:t>
            </w:r>
          </w:p>
        </w:tc>
      </w:tr>
      <w:tr w14:paraId="017D595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c>
          <w:tcPr>
            <w:tcW w:w="3000" w:type="dxa"/>
            <w:shd w:val="clear" w:color="auto" w:fill="FFFFFF"/>
            <w:tcMar>
              <w:top w:w="100" w:type="dxa"/>
              <w:left w:w="120" w:type="dxa"/>
              <w:bottom w:w="100" w:type="dxa"/>
              <w:right w:w="120" w:type="dxa"/>
            </w:tcMar>
          </w:tcPr>
          <w:p w14:paraId="5D556CBF">
            <w:pPr>
              <w:rPr>
                <w:rFonts w:hint="default" w:ascii="Times New Roman" w:hAnsi="Times New Roman" w:cs="Times New Roman"/>
              </w:rPr>
            </w:pPr>
            <w:r>
              <w:rPr>
                <w:rFonts w:hint="default" w:ascii="Times New Roman" w:hAnsi="Times New Roman" w:cs="Times New Roman"/>
                <w:b/>
                <w:bCs/>
              </w:rPr>
              <w:t>Contact Form Fields</w:t>
            </w:r>
          </w:p>
        </w:tc>
        <w:tc>
          <w:tcPr>
            <w:tcW w:w="6639" w:type="dxa"/>
            <w:shd w:val="clear" w:color="auto" w:fill="FFFFFF"/>
            <w:tcMar>
              <w:top w:w="100" w:type="dxa"/>
              <w:left w:w="120" w:type="dxa"/>
              <w:bottom w:w="100" w:type="dxa"/>
              <w:right w:w="120" w:type="dxa"/>
            </w:tcMar>
          </w:tcPr>
          <w:p w14:paraId="40335327">
            <w:pPr>
              <w:spacing w:after="60"/>
              <w:rPr>
                <w:rFonts w:hint="default" w:ascii="Times New Roman" w:hAnsi="Times New Roman" w:cs="Times New Roman"/>
              </w:rPr>
            </w:pPr>
            <w:r>
              <w:rPr>
                <w:rFonts w:hint="default" w:ascii="Times New Roman" w:hAnsi="Times New Roman" w:cs="Times New Roman"/>
              </w:rPr>
              <w:t>Name, Email, Phone Number, Company Name, Service Interest (dropdown: Company Formation, Tax &amp; VAT, Accounting, Payroll &amp; HR, Legal Advisory, Business Advisory, Other), Message</w:t>
            </w:r>
          </w:p>
        </w:tc>
      </w:tr>
      <w:tr w14:paraId="5417815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c>
          <w:tcPr>
            <w:tcW w:w="3000" w:type="dxa"/>
            <w:shd w:val="clear" w:color="auto" w:fill="F2F2F2"/>
            <w:tcMar>
              <w:top w:w="100" w:type="dxa"/>
              <w:left w:w="120" w:type="dxa"/>
              <w:bottom w:w="100" w:type="dxa"/>
              <w:right w:w="120" w:type="dxa"/>
            </w:tcMar>
          </w:tcPr>
          <w:p w14:paraId="237AA3FD">
            <w:pPr>
              <w:rPr>
                <w:rFonts w:hint="default" w:ascii="Times New Roman" w:hAnsi="Times New Roman" w:cs="Times New Roman"/>
              </w:rPr>
            </w:pPr>
            <w:r>
              <w:rPr>
                <w:rFonts w:hint="default" w:ascii="Times New Roman" w:hAnsi="Times New Roman" w:cs="Times New Roman"/>
                <w:b/>
                <w:bCs/>
              </w:rPr>
              <w:t>Office Address</w:t>
            </w:r>
          </w:p>
        </w:tc>
        <w:tc>
          <w:tcPr>
            <w:tcW w:w="6639" w:type="dxa"/>
            <w:shd w:val="clear" w:color="auto" w:fill="F2F2F2"/>
            <w:tcMar>
              <w:top w:w="100" w:type="dxa"/>
              <w:left w:w="120" w:type="dxa"/>
              <w:bottom w:w="100" w:type="dxa"/>
              <w:right w:w="120" w:type="dxa"/>
            </w:tcMar>
          </w:tcPr>
          <w:p w14:paraId="4B72C072">
            <w:pPr>
              <w:spacing w:after="60"/>
              <w:rPr>
                <w:rFonts w:hint="default" w:ascii="Times New Roman" w:hAnsi="Times New Roman" w:cs="Times New Roman"/>
              </w:rPr>
            </w:pPr>
            <w:r>
              <w:rPr>
                <w:rFonts w:hint="default" w:ascii="Times New Roman" w:hAnsi="Times New Roman" w:cs="Times New Roman"/>
              </w:rPr>
              <w:t>Level-03, House: 76/A, Road 11, Banani, Dhaka-1213, Bangladesh</w:t>
            </w:r>
          </w:p>
        </w:tc>
      </w:tr>
      <w:tr w14:paraId="7EB187F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c>
          <w:tcPr>
            <w:tcW w:w="3000" w:type="dxa"/>
            <w:shd w:val="clear" w:color="auto" w:fill="FFFFFF"/>
            <w:tcMar>
              <w:top w:w="100" w:type="dxa"/>
              <w:left w:w="120" w:type="dxa"/>
              <w:bottom w:w="100" w:type="dxa"/>
              <w:right w:w="120" w:type="dxa"/>
            </w:tcMar>
          </w:tcPr>
          <w:p w14:paraId="2F34FC96">
            <w:pPr>
              <w:rPr>
                <w:rFonts w:hint="default" w:ascii="Times New Roman" w:hAnsi="Times New Roman" w:cs="Times New Roman"/>
              </w:rPr>
            </w:pPr>
            <w:r>
              <w:rPr>
                <w:rFonts w:hint="default" w:ascii="Times New Roman" w:hAnsi="Times New Roman" w:cs="Times New Roman"/>
                <w:b/>
                <w:bCs/>
              </w:rPr>
              <w:t>Phone Number</w:t>
            </w:r>
          </w:p>
        </w:tc>
        <w:tc>
          <w:tcPr>
            <w:tcW w:w="6639" w:type="dxa"/>
            <w:shd w:val="clear" w:color="auto" w:fill="FFFFFF"/>
            <w:tcMar>
              <w:top w:w="100" w:type="dxa"/>
              <w:left w:w="120" w:type="dxa"/>
              <w:bottom w:w="100" w:type="dxa"/>
              <w:right w:w="120" w:type="dxa"/>
            </w:tcMar>
          </w:tcPr>
          <w:p w14:paraId="044AA52E">
            <w:pPr>
              <w:spacing w:after="60"/>
              <w:rPr>
                <w:rFonts w:hint="default" w:ascii="Times New Roman" w:hAnsi="Times New Roman" w:cs="Times New Roman"/>
              </w:rPr>
            </w:pPr>
            <w:r>
              <w:rPr>
                <w:rFonts w:hint="default" w:ascii="Times New Roman" w:hAnsi="Times New Roman" w:cs="Times New Roman"/>
              </w:rPr>
              <w:t>01624000381</w:t>
            </w:r>
          </w:p>
        </w:tc>
      </w:tr>
      <w:tr w14:paraId="7284F23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c>
          <w:tcPr>
            <w:tcW w:w="3000" w:type="dxa"/>
            <w:shd w:val="clear" w:color="auto" w:fill="F2F2F2"/>
            <w:tcMar>
              <w:top w:w="100" w:type="dxa"/>
              <w:left w:w="120" w:type="dxa"/>
              <w:bottom w:w="100" w:type="dxa"/>
              <w:right w:w="120" w:type="dxa"/>
            </w:tcMar>
          </w:tcPr>
          <w:p w14:paraId="2A807F02">
            <w:pPr>
              <w:rPr>
                <w:rFonts w:hint="default" w:ascii="Times New Roman" w:hAnsi="Times New Roman" w:cs="Times New Roman"/>
              </w:rPr>
            </w:pPr>
            <w:r>
              <w:rPr>
                <w:rFonts w:hint="default" w:ascii="Times New Roman" w:hAnsi="Times New Roman" w:cs="Times New Roman"/>
                <w:b/>
                <w:bCs/>
              </w:rPr>
              <w:t>Email Address</w:t>
            </w:r>
          </w:p>
        </w:tc>
        <w:tc>
          <w:tcPr>
            <w:tcW w:w="6639" w:type="dxa"/>
            <w:shd w:val="clear" w:color="auto" w:fill="F2F2F2"/>
            <w:tcMar>
              <w:top w:w="100" w:type="dxa"/>
              <w:left w:w="120" w:type="dxa"/>
              <w:bottom w:w="100" w:type="dxa"/>
              <w:right w:w="120" w:type="dxa"/>
            </w:tcMar>
          </w:tcPr>
          <w:p w14:paraId="5A7F4A42">
            <w:pPr>
              <w:spacing w:after="60"/>
              <w:rPr>
                <w:rFonts w:hint="default" w:ascii="Times New Roman" w:hAnsi="Times New Roman" w:cs="Times New Roman"/>
              </w:rPr>
            </w:pPr>
            <w:r>
              <w:rPr>
                <w:rFonts w:hint="default" w:ascii="Times New Roman" w:hAnsi="Times New Roman" w:cs="Times New Roman"/>
              </w:rPr>
              <w:t>info@capwisebd.com</w:t>
            </w:r>
          </w:p>
        </w:tc>
      </w:tr>
      <w:tr w14:paraId="5C84CA3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c>
          <w:tcPr>
            <w:tcW w:w="3000" w:type="dxa"/>
            <w:shd w:val="clear" w:color="auto" w:fill="FFFFFF"/>
            <w:tcMar>
              <w:top w:w="100" w:type="dxa"/>
              <w:left w:w="120" w:type="dxa"/>
              <w:bottom w:w="100" w:type="dxa"/>
              <w:right w:w="120" w:type="dxa"/>
            </w:tcMar>
          </w:tcPr>
          <w:p w14:paraId="607FCF5B">
            <w:pPr>
              <w:rPr>
                <w:rFonts w:hint="default" w:ascii="Times New Roman" w:hAnsi="Times New Roman" w:cs="Times New Roman"/>
              </w:rPr>
            </w:pPr>
            <w:r>
              <w:rPr>
                <w:rFonts w:hint="default" w:ascii="Times New Roman" w:hAnsi="Times New Roman" w:cs="Times New Roman"/>
                <w:b/>
                <w:bCs/>
              </w:rPr>
              <w:t>WhatsApp Business Number</w:t>
            </w:r>
          </w:p>
        </w:tc>
        <w:tc>
          <w:tcPr>
            <w:tcW w:w="6639" w:type="dxa"/>
            <w:shd w:val="clear" w:color="auto" w:fill="FFFFFF"/>
            <w:tcMar>
              <w:top w:w="100" w:type="dxa"/>
              <w:left w:w="120" w:type="dxa"/>
              <w:bottom w:w="100" w:type="dxa"/>
              <w:right w:w="120" w:type="dxa"/>
            </w:tcMar>
          </w:tcPr>
          <w:p w14:paraId="7E0E91CA">
            <w:pPr>
              <w:spacing w:after="60"/>
              <w:rPr>
                <w:rFonts w:hint="default" w:ascii="Times New Roman" w:hAnsi="Times New Roman" w:cs="Times New Roman"/>
              </w:rPr>
            </w:pPr>
            <w:r>
              <w:rPr>
                <w:rFonts w:hint="default" w:ascii="Times New Roman" w:hAnsi="Times New Roman" w:cs="Times New Roman"/>
              </w:rPr>
              <w:t>01624000381</w:t>
            </w:r>
          </w:p>
        </w:tc>
      </w:tr>
      <w:tr w14:paraId="3247F8E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c>
          <w:tcPr>
            <w:tcW w:w="3000" w:type="dxa"/>
            <w:shd w:val="clear" w:color="auto" w:fill="F2F2F2"/>
            <w:tcMar>
              <w:top w:w="100" w:type="dxa"/>
              <w:left w:w="120" w:type="dxa"/>
              <w:bottom w:w="100" w:type="dxa"/>
              <w:right w:w="120" w:type="dxa"/>
            </w:tcMar>
          </w:tcPr>
          <w:p w14:paraId="264EC04A">
            <w:pPr>
              <w:rPr>
                <w:rFonts w:hint="default" w:ascii="Times New Roman" w:hAnsi="Times New Roman" w:cs="Times New Roman"/>
              </w:rPr>
            </w:pPr>
            <w:r>
              <w:rPr>
                <w:rFonts w:hint="default" w:ascii="Times New Roman" w:hAnsi="Times New Roman" w:cs="Times New Roman"/>
                <w:b/>
                <w:bCs/>
              </w:rPr>
              <w:t>Social Links</w:t>
            </w:r>
          </w:p>
        </w:tc>
        <w:tc>
          <w:tcPr>
            <w:tcW w:w="6639" w:type="dxa"/>
            <w:shd w:val="clear" w:color="auto" w:fill="F2F2F2"/>
            <w:tcMar>
              <w:top w:w="100" w:type="dxa"/>
              <w:left w:w="120" w:type="dxa"/>
              <w:bottom w:w="100" w:type="dxa"/>
              <w:right w:w="120" w:type="dxa"/>
            </w:tcMar>
          </w:tcPr>
          <w:p w14:paraId="76141E79">
            <w:pPr>
              <w:spacing w:after="60"/>
              <w:rPr>
                <w:rFonts w:hint="default" w:ascii="Times New Roman" w:hAnsi="Times New Roman" w:cs="Times New Roman"/>
              </w:rPr>
            </w:pPr>
            <w:r>
              <w:rPr>
                <w:rFonts w:hint="default" w:ascii="Times New Roman" w:hAnsi="Times New Roman" w:cs="Times New Roman"/>
              </w:rPr>
              <w:t>Facebook and LinkedIn (confirmed platforms).</w:t>
            </w:r>
          </w:p>
          <w:p w14:paraId="44256D6C">
            <w:pPr>
              <w:spacing w:after="60"/>
              <w:rPr>
                <w:rFonts w:hint="default" w:ascii="Times New Roman" w:hAnsi="Times New Roman" w:cs="Times New Roman"/>
              </w:rPr>
            </w:pPr>
            <w:r>
              <w:rPr>
                <w:rFonts w:hint="default" w:ascii="Times New Roman" w:hAnsi="Times New Roman" w:cs="Times New Roman"/>
                <w:i/>
                <w:iCs/>
                <w:color w:val="595959"/>
                <w:sz w:val="20"/>
                <w:szCs w:val="20"/>
              </w:rPr>
              <w:t>Needs Client Confirmation — please share the exact page URLs for Facebook and LinkedIn so they can be linked on the site. If either page doesn't exist yet, MARAQO can support setup.</w:t>
            </w:r>
          </w:p>
        </w:tc>
      </w:tr>
      <w:tr w14:paraId="609324A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c>
          <w:tcPr>
            <w:tcW w:w="3000" w:type="dxa"/>
            <w:shd w:val="clear" w:color="auto" w:fill="FFFFFF"/>
            <w:tcMar>
              <w:top w:w="100" w:type="dxa"/>
              <w:left w:w="120" w:type="dxa"/>
              <w:bottom w:w="100" w:type="dxa"/>
              <w:right w:w="120" w:type="dxa"/>
            </w:tcMar>
          </w:tcPr>
          <w:p w14:paraId="133AAD04">
            <w:pPr>
              <w:rPr>
                <w:rFonts w:hint="default" w:ascii="Times New Roman" w:hAnsi="Times New Roman" w:cs="Times New Roman"/>
              </w:rPr>
            </w:pPr>
            <w:r>
              <w:rPr>
                <w:rFonts w:hint="default" w:ascii="Times New Roman" w:hAnsi="Times New Roman" w:cs="Times New Roman"/>
                <w:b/>
                <w:bCs/>
              </w:rPr>
              <w:t>Google Maps Location</w:t>
            </w:r>
          </w:p>
        </w:tc>
        <w:tc>
          <w:tcPr>
            <w:tcW w:w="6639" w:type="dxa"/>
            <w:shd w:val="clear" w:color="auto" w:fill="FFFFFF"/>
            <w:tcMar>
              <w:top w:w="100" w:type="dxa"/>
              <w:left w:w="120" w:type="dxa"/>
              <w:bottom w:w="100" w:type="dxa"/>
              <w:right w:w="120" w:type="dxa"/>
            </w:tcMar>
          </w:tcPr>
          <w:p w14:paraId="34A0AC19">
            <w:pPr>
              <w:spacing w:after="60"/>
              <w:rPr>
                <w:rFonts w:hint="default" w:ascii="Times New Roman" w:hAnsi="Times New Roman" w:cs="Times New Roman"/>
              </w:rPr>
            </w:pPr>
            <w:r>
              <w:rPr>
                <w:rFonts w:hint="default" w:ascii="Times New Roman" w:hAnsi="Times New Roman" w:cs="Times New Roman"/>
              </w:rPr>
              <w:t>Embed based on office address: Level-03, House 76/A, Road 11, Banani, Dhaka-1213, Bangladesh.</w:t>
            </w:r>
          </w:p>
        </w:tc>
      </w:tr>
    </w:tbl>
    <w:p w14:paraId="733D3825">
      <w:pPr>
        <w:pStyle w:val="2"/>
        <w:pBdr>
          <w:bottom w:val="single" w:color="C0202E" w:sz="6" w:space="4"/>
        </w:pBdr>
        <w:spacing w:before="400" w:after="150"/>
        <w:rPr>
          <w:rFonts w:hint="default" w:ascii="Times New Roman" w:hAnsi="Times New Roman" w:cs="Times New Roman"/>
        </w:rPr>
      </w:pPr>
      <w:r>
        <w:rPr>
          <w:rFonts w:hint="default" w:ascii="Times New Roman" w:hAnsi="Times New Roman" w:cs="Times New Roman"/>
          <w:b/>
          <w:bCs/>
          <w:color w:val="1F2A44"/>
          <w:sz w:val="26"/>
          <w:szCs w:val="26"/>
        </w:rPr>
        <w:t>8. Footer Section</w:t>
      </w:r>
    </w:p>
    <w:tbl>
      <w:tblPr>
        <w:tblStyle w:val="9"/>
        <w:tblW w:w="9639"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 w:type="dxa"/>
          <w:bottom w:w="0" w:type="dxa"/>
          <w:right w:w="10" w:type="dxa"/>
        </w:tblCellMar>
      </w:tblPr>
      <w:tblGrid>
        <w:gridCol w:w="3000"/>
        <w:gridCol w:w="6639"/>
      </w:tblGrid>
      <w:tr w14:paraId="7094B1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rPr>
          <w:tblHeader/>
        </w:trPr>
        <w:tc>
          <w:tcPr>
            <w:tcW w:w="3000" w:type="dxa"/>
            <w:shd w:val="clear" w:color="auto" w:fill="1F2A44"/>
            <w:tcMar>
              <w:top w:w="100" w:type="dxa"/>
              <w:left w:w="120" w:type="dxa"/>
              <w:bottom w:w="100" w:type="dxa"/>
              <w:right w:w="120" w:type="dxa"/>
            </w:tcMar>
          </w:tcPr>
          <w:p w14:paraId="246604B8">
            <w:pPr>
              <w:rPr>
                <w:rFonts w:hint="default" w:ascii="Times New Roman" w:hAnsi="Times New Roman" w:cs="Times New Roman"/>
              </w:rPr>
            </w:pPr>
            <w:r>
              <w:rPr>
                <w:rFonts w:hint="default" w:ascii="Times New Roman" w:hAnsi="Times New Roman" w:cs="Times New Roman"/>
                <w:b/>
                <w:bCs/>
                <w:color w:val="FFFFFF"/>
              </w:rPr>
              <w:t>Content Element</w:t>
            </w:r>
          </w:p>
        </w:tc>
        <w:tc>
          <w:tcPr>
            <w:tcW w:w="6639" w:type="dxa"/>
            <w:shd w:val="clear" w:color="auto" w:fill="1F2A44"/>
            <w:tcMar>
              <w:top w:w="100" w:type="dxa"/>
              <w:left w:w="120" w:type="dxa"/>
              <w:bottom w:w="100" w:type="dxa"/>
              <w:right w:w="120" w:type="dxa"/>
            </w:tcMar>
          </w:tcPr>
          <w:p w14:paraId="3EA3BC19">
            <w:pPr>
              <w:rPr>
                <w:rFonts w:hint="default" w:ascii="Times New Roman" w:hAnsi="Times New Roman" w:cs="Times New Roman"/>
              </w:rPr>
            </w:pPr>
            <w:r>
              <w:rPr>
                <w:rFonts w:hint="default" w:ascii="Times New Roman" w:hAnsi="Times New Roman" w:cs="Times New Roman"/>
                <w:b/>
                <w:bCs/>
                <w:color w:val="FFFFFF"/>
              </w:rPr>
              <w:t>Client Input (Filled by Capwise)</w:t>
            </w:r>
          </w:p>
        </w:tc>
      </w:tr>
      <w:tr w14:paraId="1FA5A81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c>
          <w:tcPr>
            <w:tcW w:w="3000" w:type="dxa"/>
            <w:shd w:val="clear" w:color="auto" w:fill="FFFFFF"/>
            <w:tcMar>
              <w:top w:w="100" w:type="dxa"/>
              <w:left w:w="120" w:type="dxa"/>
              <w:bottom w:w="100" w:type="dxa"/>
              <w:right w:w="120" w:type="dxa"/>
            </w:tcMar>
          </w:tcPr>
          <w:p w14:paraId="6B5CE453">
            <w:pPr>
              <w:rPr>
                <w:rFonts w:hint="default" w:ascii="Times New Roman" w:hAnsi="Times New Roman" w:cs="Times New Roman"/>
              </w:rPr>
            </w:pPr>
            <w:r>
              <w:rPr>
                <w:rFonts w:hint="default" w:ascii="Times New Roman" w:hAnsi="Times New Roman" w:cs="Times New Roman"/>
                <w:b/>
                <w:bCs/>
              </w:rPr>
              <w:t>Quick Links (optional)</w:t>
            </w:r>
          </w:p>
        </w:tc>
        <w:tc>
          <w:tcPr>
            <w:tcW w:w="6639" w:type="dxa"/>
            <w:shd w:val="clear" w:color="auto" w:fill="FFFFFF"/>
            <w:tcMar>
              <w:top w:w="100" w:type="dxa"/>
              <w:left w:w="120" w:type="dxa"/>
              <w:bottom w:w="100" w:type="dxa"/>
              <w:right w:w="120" w:type="dxa"/>
            </w:tcMar>
          </w:tcPr>
          <w:p w14:paraId="00CCC2FB">
            <w:pPr>
              <w:spacing w:after="60"/>
              <w:rPr>
                <w:rFonts w:hint="default" w:ascii="Times New Roman" w:hAnsi="Times New Roman" w:cs="Times New Roman"/>
              </w:rPr>
            </w:pPr>
            <w:r>
              <w:rPr>
                <w:rFonts w:hint="default" w:ascii="Times New Roman" w:hAnsi="Times New Roman" w:cs="Times New Roman"/>
              </w:rPr>
              <w:t>Home, About Us, Business in Bangladesh, Services, Industries We Serve, Blog, Contact Us</w:t>
            </w:r>
          </w:p>
        </w:tc>
      </w:tr>
      <w:tr w14:paraId="3466810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c>
          <w:tcPr>
            <w:tcW w:w="3000" w:type="dxa"/>
            <w:shd w:val="clear" w:color="auto" w:fill="F2F2F2"/>
            <w:tcMar>
              <w:top w:w="100" w:type="dxa"/>
              <w:left w:w="120" w:type="dxa"/>
              <w:bottom w:w="100" w:type="dxa"/>
              <w:right w:w="120" w:type="dxa"/>
            </w:tcMar>
          </w:tcPr>
          <w:p w14:paraId="63DA4225">
            <w:pPr>
              <w:rPr>
                <w:rFonts w:hint="default" w:ascii="Times New Roman" w:hAnsi="Times New Roman" w:cs="Times New Roman"/>
              </w:rPr>
            </w:pPr>
            <w:r>
              <w:rPr>
                <w:rFonts w:hint="default" w:ascii="Times New Roman" w:hAnsi="Times New Roman" w:cs="Times New Roman"/>
                <w:b/>
                <w:bCs/>
              </w:rPr>
              <w:t>Social Icons (optional)</w:t>
            </w:r>
          </w:p>
        </w:tc>
        <w:tc>
          <w:tcPr>
            <w:tcW w:w="6639" w:type="dxa"/>
            <w:shd w:val="clear" w:color="auto" w:fill="F2F2F2"/>
            <w:tcMar>
              <w:top w:w="100" w:type="dxa"/>
              <w:left w:w="120" w:type="dxa"/>
              <w:bottom w:w="100" w:type="dxa"/>
              <w:right w:w="120" w:type="dxa"/>
            </w:tcMar>
          </w:tcPr>
          <w:p w14:paraId="2BF606BA">
            <w:pPr>
              <w:spacing w:after="60"/>
              <w:rPr>
                <w:rFonts w:hint="default" w:ascii="Times New Roman" w:hAnsi="Times New Roman" w:cs="Times New Roman"/>
              </w:rPr>
            </w:pPr>
            <w:r>
              <w:rPr>
                <w:rFonts w:hint="default" w:ascii="Times New Roman" w:hAnsi="Times New Roman" w:cs="Times New Roman"/>
              </w:rPr>
              <w:t>Facebook, LinkedIn, WhatsApp</w:t>
            </w:r>
          </w:p>
          <w:p w14:paraId="7B5A2A5B">
            <w:pPr>
              <w:spacing w:after="60"/>
              <w:rPr>
                <w:rFonts w:hint="default" w:ascii="Times New Roman" w:hAnsi="Times New Roman" w:cs="Times New Roman"/>
              </w:rPr>
            </w:pPr>
            <w:r>
              <w:rPr>
                <w:rFonts w:hint="default" w:ascii="Times New Roman" w:hAnsi="Times New Roman" w:cs="Times New Roman"/>
                <w:i/>
                <w:iCs/>
                <w:color w:val="595959"/>
                <w:sz w:val="20"/>
                <w:szCs w:val="20"/>
              </w:rPr>
              <w:t>Pending exact page URLs to link the icons (see Contact Us section).</w:t>
            </w:r>
          </w:p>
        </w:tc>
      </w:tr>
      <w:tr w14:paraId="1632411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 w:type="dxa"/>
            <w:bottom w:w="0" w:type="dxa"/>
            <w:right w:w="10" w:type="dxa"/>
          </w:tblCellMar>
        </w:tblPrEx>
        <w:tc>
          <w:tcPr>
            <w:tcW w:w="3000" w:type="dxa"/>
            <w:shd w:val="clear" w:color="auto" w:fill="FFFFFF"/>
            <w:tcMar>
              <w:top w:w="100" w:type="dxa"/>
              <w:left w:w="120" w:type="dxa"/>
              <w:bottom w:w="100" w:type="dxa"/>
              <w:right w:w="120" w:type="dxa"/>
            </w:tcMar>
          </w:tcPr>
          <w:p w14:paraId="0C11C8A8">
            <w:pPr>
              <w:rPr>
                <w:rFonts w:hint="default" w:ascii="Times New Roman" w:hAnsi="Times New Roman" w:cs="Times New Roman"/>
              </w:rPr>
            </w:pPr>
            <w:r>
              <w:rPr>
                <w:rFonts w:hint="default" w:ascii="Times New Roman" w:hAnsi="Times New Roman" w:cs="Times New Roman"/>
                <w:b/>
                <w:bCs/>
              </w:rPr>
              <w:t>Copyright / Privacy Policy Text (optional)</w:t>
            </w:r>
          </w:p>
        </w:tc>
        <w:tc>
          <w:tcPr>
            <w:tcW w:w="6639" w:type="dxa"/>
            <w:shd w:val="clear" w:color="auto" w:fill="FFFFFF"/>
            <w:tcMar>
              <w:top w:w="100" w:type="dxa"/>
              <w:left w:w="120" w:type="dxa"/>
              <w:bottom w:w="100" w:type="dxa"/>
              <w:right w:w="120" w:type="dxa"/>
            </w:tcMar>
          </w:tcPr>
          <w:p w14:paraId="764DA5E1">
            <w:pPr>
              <w:spacing w:after="60"/>
              <w:rPr>
                <w:rFonts w:hint="default" w:ascii="Times New Roman" w:hAnsi="Times New Roman" w:cs="Times New Roman"/>
              </w:rPr>
            </w:pPr>
            <w:r>
              <w:rPr>
                <w:rFonts w:hint="default" w:ascii="Times New Roman" w:hAnsi="Times New Roman" w:cs="Times New Roman"/>
              </w:rPr>
              <w:t>© 2026 Capwise Solution. All rights reserved.</w:t>
            </w:r>
          </w:p>
          <w:p w14:paraId="09A04EBF">
            <w:pPr>
              <w:spacing w:after="60"/>
              <w:rPr>
                <w:rFonts w:hint="default" w:ascii="Times New Roman" w:hAnsi="Times New Roman" w:cs="Times New Roman"/>
              </w:rPr>
            </w:pPr>
            <w:r>
              <w:rPr>
                <w:rFonts w:hint="default" w:ascii="Times New Roman" w:hAnsi="Times New Roman" w:cs="Times New Roman"/>
                <w:i/>
                <w:iCs/>
                <w:color w:val="595959"/>
                <w:sz w:val="20"/>
                <w:szCs w:val="20"/>
              </w:rPr>
              <w:t>A formal Privacy Policy page is recommended, especially since the site will collect contact-form data. MARAQO can draft a standard policy for Capwise's legal team to review.</w:t>
            </w:r>
          </w:p>
        </w:tc>
      </w:tr>
    </w:tbl>
    <w:p w14:paraId="13D993E5">
      <w:pPr>
        <w:spacing w:before="300"/>
      </w:pPr>
      <w:r>
        <w:rPr>
          <w:rFonts w:hint="default" w:ascii="Times New Roman" w:hAnsi="Times New Roman" w:cs="Times New Roman"/>
          <w:i/>
          <w:iCs/>
          <w:color w:val="595959"/>
          <w:sz w:val="20"/>
          <w:szCs w:val="20"/>
        </w:rPr>
        <w:t>MARAQO — Prepared for Capwise Solution BD</w:t>
      </w:r>
      <w:bookmarkStart w:id="0" w:name="_GoBack"/>
      <w:bookmarkEnd w:id="0"/>
    </w:p>
    <w:sectPr>
      <w:pgSz w:w="12240" w:h="15840"/>
      <w:pgMar w:top="900" w:right="900" w:bottom="900" w:left="9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360" w:hanging="215"/>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17117B3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1341</Words>
  <Characters>8791</Characters>
  <TotalTime>9</TotalTime>
  <ScaleCrop>false</ScaleCrop>
  <LinksUpToDate>false</LinksUpToDate>
  <CharactersWithSpaces>10021</CharactersWithSpaces>
  <Application>WPS Office_12.1.0.26886_F1E327BC-269C-435d-A152-05C5408002CA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2026-07-13T11:32:00Z</dcterms:created>
  <dc:creator>Un-named</dc:creator>
  <cp:lastModifiedBy>AB</cp:lastModifiedBy>
  <cp:lastPrinted>2026-07-13T11:43:51Z</cp:lastPrinted>
  <dcterms:modified xsi:type="dcterms:W3CDTF">2026-07-13T11:44:08Z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eyJoZGlkIjoiZGJjZDFhMzFkOTU1N2M2ZGU3YTYzZWJkZmJkZDIyYjUifQ==</vt:lpwstr>
  </property>
  <property fmtid="{D5CDD505-2E9C-101B-9397-08002B2CF9AE}" pid="3" name="KSOProductBuildVer">
    <vt:lpwstr>1033-12.1.0.26886</vt:lpwstr>
  </property>
  <property fmtid="{D5CDD505-2E9C-101B-9397-08002B2CF9AE}" pid="4" name="ICV">
    <vt:lpwstr>0A44DA67EDB34883899B1EF0F12DBBFB_12</vt:lpwstr>
  </property>
</Properties>
</file>