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Orbitron" w:hAnsi="Orbitron"/>
          <w:b/>
          <w:color w:val="0F76EC"/>
          <w:sz w:val="68"/>
        </w:rPr>
        <w:t>OMNIX</w:t>
      </w:r>
    </w:p>
    <w:p>
      <w:pPr>
        <w:jc w:val="center"/>
      </w:pPr>
      <w:r>
        <w:rPr>
          <w:rFonts w:ascii="Montserrat" w:hAnsi="Montserrat"/>
          <w:color w:val="505A6E"/>
          <w:sz w:val="24"/>
        </w:rPr>
        <w:t>DENTAL &amp; OVERALL HEALTH AI</w:t>
      </w:r>
    </w:p>
    <w:p>
      <w:pPr>
        <w:jc w:val="center"/>
      </w:pPr>
      <w:r>
        <w:rPr>
          <w:b/>
          <w:sz w:val="36"/>
        </w:rPr>
        <w:t>Brand Color &amp; Typography Guide</w:t>
      </w:r>
    </w:p>
    <w:p>
      <w:pPr>
        <w:jc w:val="center"/>
      </w:pPr>
      <w:r>
        <w:rPr>
          <w:i/>
          <w:color w:val="5A5A64"/>
          <w:sz w:val="18"/>
        </w:rPr>
        <w:t>Prepared from the supplied OMNIX logo artwork • Colors are practical digital approximations sampled from the artwork.</w:t>
      </w:r>
    </w:p>
    <w:p>
      <w:r>
        <w:rPr>
          <w:b/>
          <w:sz w:val="32"/>
        </w:rPr>
        <w:t>1. Brand Color Palette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Color</w:t>
            </w:r>
          </w:p>
        </w:tc>
        <w:tc>
          <w:tcPr>
            <w:tcW w:type="dxa" w:w="2520"/>
          </w:tcPr>
          <w:p>
            <w:r>
              <w:rPr>
                <w:b/>
              </w:rPr>
              <w:t>HEX</w:t>
            </w:r>
          </w:p>
        </w:tc>
        <w:tc>
          <w:tcPr>
            <w:tcW w:type="dxa" w:w="2520"/>
          </w:tcPr>
          <w:p>
            <w:r>
              <w:rPr>
                <w:b/>
              </w:rPr>
              <w:t>RGB</w:t>
            </w:r>
          </w:p>
        </w:tc>
        <w:tc>
          <w:tcPr>
            <w:tcW w:type="dxa" w:w="2520"/>
          </w:tcPr>
          <w:p>
            <w:r>
              <w:rPr>
                <w:b/>
              </w:rPr>
              <w:t>Recommended use</w:t>
            </w:r>
          </w:p>
        </w:tc>
      </w:tr>
      <w:tr>
        <w:tc>
          <w:tcPr>
            <w:tcW w:type="dxa" w:w="2520"/>
            <w:shd w:fill="01081A"/>
            <w:vAlign w:val="center"/>
          </w:tcPr>
          <w:p>
            <w:r>
              <w:rPr>
                <w:b/>
                <w:color w:val="FFFFFF"/>
              </w:rPr>
              <w:t>Deep Navy / Background</w:t>
            </w:r>
          </w:p>
        </w:tc>
        <w:tc>
          <w:tcPr>
            <w:tcW w:type="dxa" w:w="2520"/>
            <w:vAlign w:val="center"/>
          </w:tcPr>
          <w:p>
            <w:r>
              <w:t>#01081A</w:t>
            </w:r>
          </w:p>
        </w:tc>
        <w:tc>
          <w:tcPr>
            <w:tcW w:type="dxa" w:w="2520"/>
            <w:vAlign w:val="center"/>
          </w:tcPr>
          <w:p>
            <w:r>
              <w:t>RGB 1, 8, 26</w:t>
            </w:r>
          </w:p>
        </w:tc>
        <w:tc>
          <w:tcPr>
            <w:tcW w:type="dxa" w:w="2520"/>
            <w:vAlign w:val="center"/>
          </w:tcPr>
          <w:p>
            <w:r>
              <w:t>Primary background; premium dark-tech feel.</w:t>
            </w:r>
          </w:p>
        </w:tc>
      </w:tr>
      <w:tr>
        <w:tc>
          <w:tcPr>
            <w:tcW w:type="dxa" w:w="2520"/>
            <w:shd w:fill="0F76EC"/>
            <w:vAlign w:val="center"/>
          </w:tcPr>
          <w:p>
            <w:r>
              <w:rPr>
                <w:b/>
                <w:color w:val="FFFFFF"/>
              </w:rPr>
              <w:t>Electric Blue</w:t>
            </w:r>
          </w:p>
        </w:tc>
        <w:tc>
          <w:tcPr>
            <w:tcW w:type="dxa" w:w="2520"/>
            <w:vAlign w:val="center"/>
          </w:tcPr>
          <w:p>
            <w:r>
              <w:t>#0F76EC</w:t>
            </w:r>
          </w:p>
        </w:tc>
        <w:tc>
          <w:tcPr>
            <w:tcW w:type="dxa" w:w="2520"/>
            <w:vAlign w:val="center"/>
          </w:tcPr>
          <w:p>
            <w:r>
              <w:t>RGB 15, 118, 236</w:t>
            </w:r>
          </w:p>
        </w:tc>
        <w:tc>
          <w:tcPr>
            <w:tcW w:type="dxa" w:w="2520"/>
            <w:vAlign w:val="center"/>
          </w:tcPr>
          <w:p>
            <w:r>
              <w:t>Primary accent; links, highlights, digital glow.</w:t>
            </w:r>
          </w:p>
        </w:tc>
      </w:tr>
      <w:tr>
        <w:tc>
          <w:tcPr>
            <w:tcW w:type="dxa" w:w="2520"/>
            <w:shd w:fill="1BC4F5"/>
            <w:vAlign w:val="center"/>
          </w:tcPr>
          <w:p>
            <w:r>
              <w:rPr>
                <w:b/>
                <w:color w:val="FFFFFF"/>
              </w:rPr>
              <w:t>Bright Cyan</w:t>
            </w:r>
          </w:p>
        </w:tc>
        <w:tc>
          <w:tcPr>
            <w:tcW w:type="dxa" w:w="2520"/>
            <w:vAlign w:val="center"/>
          </w:tcPr>
          <w:p>
            <w:r>
              <w:t>#1BC4F5</w:t>
            </w:r>
          </w:p>
        </w:tc>
        <w:tc>
          <w:tcPr>
            <w:tcW w:type="dxa" w:w="2520"/>
            <w:vAlign w:val="center"/>
          </w:tcPr>
          <w:p>
            <w:r>
              <w:t>RGB 27, 196, 245</w:t>
            </w:r>
          </w:p>
        </w:tc>
        <w:tc>
          <w:tcPr>
            <w:tcW w:type="dxa" w:w="2520"/>
            <w:vAlign w:val="center"/>
          </w:tcPr>
          <w:p>
            <w:r>
              <w:t>Secondary accent; luminous details and gradients.</w:t>
            </w:r>
          </w:p>
        </w:tc>
      </w:tr>
      <w:tr>
        <w:tc>
          <w:tcPr>
            <w:tcW w:type="dxa" w:w="2520"/>
            <w:shd w:fill="5AE5F3"/>
            <w:vAlign w:val="center"/>
          </w:tcPr>
          <w:p>
            <w:r>
              <w:rPr>
                <w:b/>
                <w:color w:val="FFFFFF"/>
              </w:rPr>
              <w:t>Cyan Glow</w:t>
            </w:r>
          </w:p>
        </w:tc>
        <w:tc>
          <w:tcPr>
            <w:tcW w:type="dxa" w:w="2520"/>
            <w:vAlign w:val="center"/>
          </w:tcPr>
          <w:p>
            <w:r>
              <w:t>#5AE5F3</w:t>
            </w:r>
          </w:p>
        </w:tc>
        <w:tc>
          <w:tcPr>
            <w:tcW w:type="dxa" w:w="2520"/>
            <w:vAlign w:val="center"/>
          </w:tcPr>
          <w:p>
            <w:r>
              <w:t>RGB 90, 229, 243</w:t>
            </w:r>
          </w:p>
        </w:tc>
        <w:tc>
          <w:tcPr>
            <w:tcW w:type="dxa" w:w="2520"/>
            <w:vAlign w:val="center"/>
          </w:tcPr>
          <w:p>
            <w:r>
              <w:t>Highlight/glow color used in luminous areas.</w:t>
            </w:r>
          </w:p>
        </w:tc>
      </w:tr>
      <w:tr>
        <w:tc>
          <w:tcPr>
            <w:tcW w:type="dxa" w:w="2520"/>
            <w:shd w:fill="9786FA"/>
            <w:vAlign w:val="center"/>
          </w:tcPr>
          <w:p>
            <w:r>
              <w:rPr>
                <w:b/>
                <w:color w:val="FFFFFF"/>
              </w:rPr>
              <w:t>Vivid Violet</w:t>
            </w:r>
          </w:p>
        </w:tc>
        <w:tc>
          <w:tcPr>
            <w:tcW w:type="dxa" w:w="2520"/>
            <w:vAlign w:val="center"/>
          </w:tcPr>
          <w:p>
            <w:r>
              <w:t>#9786FA</w:t>
            </w:r>
          </w:p>
        </w:tc>
        <w:tc>
          <w:tcPr>
            <w:tcW w:type="dxa" w:w="2520"/>
            <w:vAlign w:val="center"/>
          </w:tcPr>
          <w:p>
            <w:r>
              <w:t>RGB 151, 134, 250</w:t>
            </w:r>
          </w:p>
        </w:tc>
        <w:tc>
          <w:tcPr>
            <w:tcW w:type="dxa" w:w="2520"/>
            <w:vAlign w:val="center"/>
          </w:tcPr>
          <w:p>
            <w:r>
              <w:t>Secondary accent; premium futuristic contrast.</w:t>
            </w:r>
          </w:p>
        </w:tc>
      </w:tr>
      <w:tr>
        <w:tc>
          <w:tcPr>
            <w:tcW w:type="dxa" w:w="2520"/>
            <w:shd w:fill="083FCA"/>
            <w:vAlign w:val="center"/>
          </w:tcPr>
          <w:p>
            <w:r>
              <w:rPr>
                <w:b/>
                <w:color w:val="FFFFFF"/>
              </w:rPr>
              <w:t>Deep Blue</w:t>
            </w:r>
          </w:p>
        </w:tc>
        <w:tc>
          <w:tcPr>
            <w:tcW w:type="dxa" w:w="2520"/>
            <w:vAlign w:val="center"/>
          </w:tcPr>
          <w:p>
            <w:r>
              <w:t>#083FCA</w:t>
            </w:r>
          </w:p>
        </w:tc>
        <w:tc>
          <w:tcPr>
            <w:tcW w:type="dxa" w:w="2520"/>
            <w:vAlign w:val="center"/>
          </w:tcPr>
          <w:p>
            <w:r>
              <w:t>RGB 8, 63, 204</w:t>
            </w:r>
          </w:p>
        </w:tc>
        <w:tc>
          <w:tcPr>
            <w:tcW w:type="dxa" w:w="2520"/>
            <w:vAlign w:val="center"/>
          </w:tcPr>
          <w:p>
            <w:r>
              <w:t>Gradient depth for the blue side of the mark.</w:t>
            </w:r>
          </w:p>
        </w:tc>
      </w:tr>
      <w:tr>
        <w:tc>
          <w:tcPr>
            <w:tcW w:type="dxa" w:w="2520"/>
            <w:shd w:fill="F4F6FF"/>
            <w:vAlign w:val="center"/>
          </w:tcPr>
          <w:p>
            <w:r>
              <w:rPr>
                <w:b/>
                <w:color w:val="000000"/>
              </w:rPr>
              <w:t>White / Ice</w:t>
            </w:r>
          </w:p>
        </w:tc>
        <w:tc>
          <w:tcPr>
            <w:tcW w:type="dxa" w:w="2520"/>
            <w:vAlign w:val="center"/>
          </w:tcPr>
          <w:p>
            <w:r>
              <w:t>#F4F6FF</w:t>
            </w:r>
          </w:p>
        </w:tc>
        <w:tc>
          <w:tcPr>
            <w:tcW w:type="dxa" w:w="2520"/>
            <w:vAlign w:val="center"/>
          </w:tcPr>
          <w:p>
            <w:r>
              <w:t>RGB 244, 246, 255</w:t>
            </w:r>
          </w:p>
        </w:tc>
        <w:tc>
          <w:tcPr>
            <w:tcW w:type="dxa" w:w="2520"/>
            <w:vAlign w:val="center"/>
          </w:tcPr>
          <w:p>
            <w:r>
              <w:t>OMNI lettering and high-contrast text.</w:t>
            </w:r>
          </w:p>
        </w:tc>
      </w:tr>
    </w:tbl>
    <w:p/>
    <w:p>
      <w:r>
        <w:rPr>
          <w:b/>
          <w:sz w:val="24"/>
        </w:rPr>
        <w:t>Signature gradient</w:t>
      </w:r>
      <w:r>
        <w:t xml:space="preserve">  Use a smooth blue → violet gradient for the OMNIX X and smile swoosh. A practical starting point is </w:t>
      </w:r>
      <w:r>
        <w:rPr>
          <w:b/>
        </w:rPr>
        <w:t>#0F76EC → #9786FA</w:t>
      </w:r>
      <w:r>
        <w:t>. Add a small amount of #1BC4F5 toward the cyan end when a brighter glow is desired.</w:t>
      </w:r>
    </w:p>
    <w:p>
      <w:r>
        <w:rPr>
          <w:b/>
          <w:sz w:val="32"/>
        </w:rPr>
        <w:t>2. Typography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Brand element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Recommended font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Usage notes</w:t>
            </w:r>
          </w:p>
        </w:tc>
      </w:tr>
      <w:tr>
        <w:tc>
          <w:tcPr>
            <w:tcW w:type="dxa" w:w="3360"/>
          </w:tcPr>
          <w:p>
            <w:r>
              <w:t>OMNIX wordmark</w:t>
            </w:r>
          </w:p>
        </w:tc>
        <w:tc>
          <w:tcPr>
            <w:tcW w:type="dxa" w:w="3360"/>
          </w:tcPr>
          <w:p>
            <w:r>
              <w:t>Custom / logo lettering</w:t>
            </w:r>
          </w:p>
        </w:tc>
        <w:tc>
          <w:tcPr>
            <w:tcW w:type="dxa" w:w="3360"/>
          </w:tcPr>
          <w:p>
            <w:r>
              <w:t>The supplied OMNIX lettering appears custom-drawn rather than a standard font. Keep the artwork as the master logo. For editable mockups, use Orbitron SemiBold or Michroma as a close futuristic substitute.</w:t>
            </w:r>
          </w:p>
        </w:tc>
      </w:tr>
      <w:tr>
        <w:tc>
          <w:tcPr>
            <w:tcW w:type="dxa" w:w="3360"/>
          </w:tcPr>
          <w:p>
            <w:r>
              <w:t>Tagline</w:t>
            </w:r>
          </w:p>
        </w:tc>
        <w:tc>
          <w:tcPr>
            <w:tcW w:type="dxa" w:w="3360"/>
          </w:tcPr>
          <w:p>
            <w:r>
              <w:t>Montserrat Light / Regular</w:t>
            </w:r>
          </w:p>
        </w:tc>
        <w:tc>
          <w:tcPr>
            <w:tcW w:type="dxa" w:w="3360"/>
          </w:tcPr>
          <w:p>
            <w:r>
              <w:t>Use wide tracking and generous spacing. Suggested weight: Light (300) or Regular (400).</w:t>
            </w:r>
          </w:p>
        </w:tc>
      </w:tr>
      <w:tr>
        <w:tc>
          <w:tcPr>
            <w:tcW w:type="dxa" w:w="3360"/>
          </w:tcPr>
          <w:p>
            <w:r>
              <w:t>Headings</w:t>
            </w:r>
          </w:p>
        </w:tc>
        <w:tc>
          <w:tcPr>
            <w:tcW w:type="dxa" w:w="3360"/>
          </w:tcPr>
          <w:p>
            <w:r>
              <w:t>Montserrat SemiBold</w:t>
            </w:r>
          </w:p>
        </w:tc>
        <w:tc>
          <w:tcPr>
            <w:tcW w:type="dxa" w:w="3360"/>
          </w:tcPr>
          <w:p>
            <w:r>
              <w:t>Clean, modern headings for presentations, websites and documents.</w:t>
            </w:r>
          </w:p>
        </w:tc>
      </w:tr>
      <w:tr>
        <w:tc>
          <w:tcPr>
            <w:tcW w:type="dxa" w:w="3360"/>
          </w:tcPr>
          <w:p>
            <w:r>
              <w:t>Body text</w:t>
            </w:r>
          </w:p>
        </w:tc>
        <w:tc>
          <w:tcPr>
            <w:tcW w:type="dxa" w:w="3360"/>
          </w:tcPr>
          <w:p>
            <w:r>
              <w:t>Inter Regular</w:t>
            </w:r>
          </w:p>
        </w:tc>
        <w:tc>
          <w:tcPr>
            <w:tcW w:type="dxa" w:w="3360"/>
          </w:tcPr>
          <w:p>
            <w:r>
              <w:t>Highly legible supporting text; use Inter 400, with Inter 500 for emphasis.</w:t>
            </w:r>
          </w:p>
        </w:tc>
      </w:tr>
    </w:tbl>
    <w:p/>
    <w:p>
      <w:r>
        <w:rPr>
          <w:b/>
        </w:rPr>
        <w:t xml:space="preserve">Typography rule: </w:t>
      </w:r>
      <w:r>
        <w:t>Do not replace the actual OMNIX logo with a typed font when producing final brand assets. Use the original logo artwork for consistency.</w:t>
      </w:r>
    </w:p>
    <w:p>
      <w:r>
        <w:rPr>
          <w:b/>
          <w:sz w:val="32"/>
        </w:rPr>
        <w:t>3. Quick Usage Rules</w:t>
      </w:r>
    </w:p>
    <w:p>
      <w:pPr>
        <w:pStyle w:val="ListBullet"/>
      </w:pPr>
      <w:r>
        <w:t>Primary logo background: Deep Navy (#01081A) or another very dark neutral.</w:t>
      </w:r>
    </w:p>
    <w:p>
      <w:pPr>
        <w:pStyle w:val="ListBullet"/>
      </w:pPr>
      <w:r>
        <w:t>Keep the OMNI lettering close to white/ice (#F4F6FF) for maximum contrast.</w:t>
      </w:r>
    </w:p>
    <w:p>
      <w:pPr>
        <w:pStyle w:val="ListBullet"/>
      </w:pPr>
      <w:r>
        <w:t>Use blue and violet as accents rather than large flat blocks of color.</w:t>
      </w:r>
    </w:p>
    <w:p>
      <w:pPr>
        <w:pStyle w:val="ListBullet"/>
      </w:pPr>
      <w:r>
        <w:t>For digital glow effects, layer Bright Cyan (#1BC4F5) and Electric Blue (#0F76EC) at low opacity.</w:t>
      </w:r>
    </w:p>
    <w:p>
      <w:pPr>
        <w:pStyle w:val="ListBullet"/>
      </w:pPr>
      <w:r>
        <w:t>Avoid introducing unrelated bright colors; the identity is intentionally limited to navy, cyan, blue, violet and ice-white.</w:t>
      </w:r>
    </w:p>
    <w:p>
      <w:pPr>
        <w:pStyle w:val="ListBullet"/>
      </w:pPr>
      <w:r>
        <w:t>Maintain generous clear space around the logo and avoid placing it directly against busy imagery.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7D"/>
        <w:sz w:val="16"/>
      </w:rPr>
      <w:t>OMNIX • Dental &amp; Overall Health 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