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771820">
      <w:pPr>
        <w:spacing w:before="3600"/>
      </w:pPr>
    </w:p>
    <w:p w14:paraId="54387BED">
      <w:pPr>
        <w:spacing w:after="200"/>
        <w:jc w:val="center"/>
      </w:pPr>
      <w:r>
        <w:rPr>
          <w:rFonts w:ascii="Arial" w:hAnsi="Arial" w:eastAsia="Arial" w:cs="Arial"/>
          <w:b/>
          <w:bCs/>
          <w:color w:val="1B4F72"/>
          <w:sz w:val="72"/>
          <w:szCs w:val="72"/>
        </w:rPr>
        <w:t>IqbalAI</w:t>
      </w:r>
    </w:p>
    <w:p w14:paraId="1F3AF96C">
      <w:pPr>
        <w:pBdr>
          <w:bottom w:val="single" w:color="2E86C1" w:sz="6" w:space="12"/>
        </w:pBdr>
        <w:spacing w:after="100"/>
        <w:jc w:val="center"/>
      </w:pPr>
      <w:r>
        <w:rPr>
          <w:rFonts w:ascii="Arial" w:hAnsi="Arial" w:eastAsia="Arial" w:cs="Arial"/>
          <w:color w:val="2E86C1"/>
          <w:sz w:val="36"/>
          <w:szCs w:val="36"/>
        </w:rPr>
        <w:t>Competitor Research &amp; Market Analysis</w:t>
      </w:r>
    </w:p>
    <w:p w14:paraId="18E41218">
      <w:pPr>
        <w:spacing w:before="400" w:after="100"/>
        <w:jc w:val="center"/>
      </w:pPr>
      <w:r>
        <w:rPr>
          <w:rFonts w:ascii="Arial" w:hAnsi="Arial" w:eastAsia="Arial" w:cs="Arial"/>
          <w:color w:val="666666"/>
          <w:sz w:val="26"/>
          <w:szCs w:val="26"/>
        </w:rPr>
        <w:t>Phase 2 — Product Strategy Foundation</w:t>
      </w:r>
    </w:p>
    <w:p w14:paraId="016AB8EF">
      <w:pPr>
        <w:spacing w:before="60"/>
        <w:jc w:val="center"/>
      </w:pPr>
      <w:r>
        <w:rPr>
          <w:rFonts w:ascii="Arial" w:hAnsi="Arial" w:eastAsia="Arial" w:cs="Arial"/>
          <w:b/>
          <w:bCs/>
          <w:color w:val="E67E22"/>
          <w:sz w:val="22"/>
          <w:szCs w:val="22"/>
        </w:rPr>
        <w:t>v2.0 — Updated with CXO Direction</w:t>
      </w:r>
    </w:p>
    <w:p w14:paraId="35B9E4F6">
      <w:pPr>
        <w:spacing w:before="200"/>
        <w:jc w:val="center"/>
        <w:rPr>
          <w:rFonts w:hint="default"/>
          <w:lang w:val="en-US"/>
        </w:rPr>
      </w:pPr>
      <w:r>
        <w:rPr>
          <w:rFonts w:ascii="Arial" w:hAnsi="Arial" w:eastAsia="Arial" w:cs="Arial"/>
          <w:color w:val="666666"/>
          <w:sz w:val="22"/>
          <w:szCs w:val="22"/>
        </w:rPr>
        <w:t xml:space="preserve">March 2026 • </w:t>
      </w:r>
      <w:r>
        <w:rPr>
          <w:rFonts w:hint="default" w:cs="Arial"/>
          <w:color w:val="666666"/>
          <w:sz w:val="22"/>
          <w:szCs w:val="22"/>
          <w:lang w:val="en-US"/>
        </w:rPr>
        <w:t>Internal</w:t>
      </w:r>
    </w:p>
    <w:p w14:paraId="337A86E9">
      <w:pPr>
        <w:spacing w:before="100"/>
        <w:jc w:val="center"/>
      </w:pPr>
      <w:r>
        <w:rPr>
          <w:rFonts w:ascii="Arial" w:hAnsi="Arial" w:eastAsia="Arial" w:cs="Arial"/>
          <w:i/>
          <w:iCs/>
          <w:color w:val="666666"/>
          <w:sz w:val="22"/>
          <w:szCs w:val="22"/>
        </w:rPr>
        <w:t xml:space="preserve">Prepared </w:t>
      </w:r>
      <w:r>
        <w:rPr>
          <w:rFonts w:hint="default" w:cs="Arial"/>
          <w:i/>
          <w:iCs/>
          <w:color w:val="666666"/>
          <w:sz w:val="22"/>
          <w:szCs w:val="22"/>
          <w:lang w:val="en-US"/>
        </w:rPr>
        <w:t>by</w:t>
      </w:r>
      <w:r>
        <w:rPr>
          <w:rFonts w:ascii="Arial" w:hAnsi="Arial" w:eastAsia="Arial" w:cs="Arial"/>
          <w:i/>
          <w:iCs/>
          <w:color w:val="666666"/>
          <w:sz w:val="22"/>
          <w:szCs w:val="22"/>
        </w:rPr>
        <w:t xml:space="preserve"> AbdurRehman</w:t>
      </w:r>
    </w:p>
    <w:p w14:paraId="6721684F">
      <w:pPr>
        <w:sectPr>
          <w:pgSz w:w="12240" w:h="15840"/>
          <w:pgMar w:top="1440" w:right="1440" w:bottom="1440" w:left="1440" w:header="708" w:footer="708" w:gutter="0"/>
          <w:cols w:space="720" w:num="1"/>
          <w:docGrid w:linePitch="360" w:charSpace="0"/>
        </w:sectPr>
      </w:pPr>
    </w:p>
    <w:p w14:paraId="4F1DE364">
      <w:pPr>
        <w:pStyle w:val="2"/>
        <w:spacing w:before="0" w:after="200"/>
      </w:pPr>
      <w:bookmarkStart w:id="0" w:name="_Toc333912979"/>
      <w:r>
        <w:rPr>
          <w:rFonts w:ascii="Arial" w:hAnsi="Arial" w:eastAsia="Arial" w:cs="Arial"/>
          <w:color w:val="333333"/>
          <w:sz w:val="22"/>
          <w:szCs w:val="22"/>
        </w:rPr>
        <w:t>Table of Contents</w:t>
      </w:r>
      <w:bookmarkEnd w:id="0"/>
    </w:p>
    <w:p w14:paraId="74022339"/>
    <w:sdt>
      <w:sdtPr>
        <w:alias w:val="Table of Contents"/>
        <w:id w:val="366302161"/>
      </w:sdtPr>
      <w:sdtContent>
        <w:p w14:paraId="22136E1C"/>
        <w:sdt>
          <w:sdtPr>
            <w:rPr>
              <w:rFonts w:ascii="SimSun" w:hAnsi="SimSun" w:eastAsia="SimSun" w:cs="Arial"/>
              <w:sz w:val="21"/>
              <w:szCs w:val="22"/>
            </w:rPr>
            <w:id w:val="364755917"/>
            <w15:color w:val="DBDBDB"/>
            <w:docPartObj>
              <w:docPartGallery w:val="Table of Contents"/>
              <w:docPartUnique/>
            </w:docPartObj>
          </w:sdtPr>
          <w:sdtContent>
            <w:p w14:paraId="107762CA">
              <w:pPr>
                <w:spacing w:before="0" w:beforeLines="0" w:after="0" w:afterLines="0" w:line="240" w:lineRule="auto"/>
                <w:ind w:left="0" w:leftChars="0" w:right="0" w:rightChars="0" w:firstLine="0" w:firstLineChars="0"/>
                <w:jc w:val="center"/>
              </w:pPr>
              <w:r>
                <w:rPr>
                  <w:rFonts w:ascii="SimSun" w:hAnsi="SimSun" w:eastAsia="SimSun"/>
                  <w:sz w:val="21"/>
                </w:rPr>
                <w:t>Catalog</w:t>
              </w:r>
            </w:p>
            <w:p w14:paraId="76E6CB2F">
              <w:pPr>
                <w:pStyle w:val="16"/>
                <w:tabs>
                  <w:tab w:val="right" w:leader="dot" w:pos="9360"/>
                </w:tabs>
              </w:pPr>
              <w:r>
                <w:fldChar w:fldCharType="begin"/>
              </w:r>
              <w:r>
                <w:instrText xml:space="preserve">TOC \o "1-1" \h \u </w:instrText>
              </w:r>
              <w:r>
                <w:fldChar w:fldCharType="separate"/>
              </w:r>
              <w:r>
                <w:fldChar w:fldCharType="begin"/>
              </w:r>
              <w:r>
                <w:instrText xml:space="preserve"> HYPERLINK \l _Toc333912979 </w:instrText>
              </w:r>
              <w:r>
                <w:fldChar w:fldCharType="separate"/>
              </w:r>
              <w:r>
                <w:rPr>
                  <w:rFonts w:ascii="Arial" w:hAnsi="Arial" w:eastAsia="Arial" w:cs="Arial"/>
                  <w:szCs w:val="22"/>
                </w:rPr>
                <w:t>Table of Contents</w:t>
              </w:r>
              <w:r>
                <w:tab/>
              </w:r>
              <w:r>
                <w:fldChar w:fldCharType="begin"/>
              </w:r>
              <w:r>
                <w:instrText xml:space="preserve"> PAGEREF _Toc333912979 \h </w:instrText>
              </w:r>
              <w:r>
                <w:fldChar w:fldCharType="separate"/>
              </w:r>
              <w:r>
                <w:t>2</w:t>
              </w:r>
              <w:r>
                <w:fldChar w:fldCharType="end"/>
              </w:r>
              <w:r>
                <w:fldChar w:fldCharType="end"/>
              </w:r>
            </w:p>
            <w:p w14:paraId="50436705">
              <w:pPr>
                <w:pStyle w:val="16"/>
                <w:tabs>
                  <w:tab w:val="right" w:leader="dot" w:pos="9360"/>
                </w:tabs>
              </w:pPr>
              <w:r>
                <w:fldChar w:fldCharType="begin"/>
              </w:r>
              <w:r>
                <w:instrText xml:space="preserve"> HYPERLINK \l _Toc700668442 </w:instrText>
              </w:r>
              <w:r>
                <w:fldChar w:fldCharType="separate"/>
              </w:r>
              <w:r>
                <w:rPr>
                  <w:rFonts w:ascii="Arial" w:hAnsi="Arial" w:eastAsia="Arial" w:cs="Arial"/>
                  <w:szCs w:val="22"/>
                </w:rPr>
                <w:t>Executive Summary</w:t>
              </w:r>
              <w:r>
                <w:tab/>
              </w:r>
              <w:r>
                <w:fldChar w:fldCharType="begin"/>
              </w:r>
              <w:r>
                <w:instrText xml:space="preserve"> PAGEREF _Toc700668442 \h </w:instrText>
              </w:r>
              <w:r>
                <w:fldChar w:fldCharType="separate"/>
              </w:r>
              <w:r>
                <w:t>3</w:t>
              </w:r>
              <w:r>
                <w:fldChar w:fldCharType="end"/>
              </w:r>
              <w:r>
                <w:fldChar w:fldCharType="end"/>
              </w:r>
            </w:p>
            <w:p w14:paraId="20EC3924">
              <w:pPr>
                <w:pStyle w:val="16"/>
                <w:tabs>
                  <w:tab w:val="right" w:leader="dot" w:pos="9360"/>
                </w:tabs>
              </w:pPr>
              <w:r>
                <w:fldChar w:fldCharType="begin"/>
              </w:r>
              <w:r>
                <w:instrText xml:space="preserve"> HYPERLINK \l _Toc1481668193 </w:instrText>
              </w:r>
              <w:r>
                <w:fldChar w:fldCharType="separate"/>
              </w:r>
              <w:r>
                <w:rPr>
                  <w:rFonts w:ascii="Arial" w:hAnsi="Arial" w:eastAsia="Arial" w:cs="Arial"/>
                  <w:szCs w:val="22"/>
                </w:rPr>
                <w:t>Pakistan Education Market Overview</w:t>
              </w:r>
              <w:r>
                <w:tab/>
              </w:r>
              <w:r>
                <w:fldChar w:fldCharType="begin"/>
              </w:r>
              <w:r>
                <w:instrText xml:space="preserve"> PAGEREF _Toc1481668193 \h </w:instrText>
              </w:r>
              <w:r>
                <w:fldChar w:fldCharType="separate"/>
              </w:r>
              <w:r>
                <w:t>4</w:t>
              </w:r>
              <w:r>
                <w:fldChar w:fldCharType="end"/>
              </w:r>
              <w:r>
                <w:fldChar w:fldCharType="end"/>
              </w:r>
            </w:p>
            <w:p w14:paraId="3A9CFB3B">
              <w:pPr>
                <w:pStyle w:val="16"/>
                <w:tabs>
                  <w:tab w:val="right" w:leader="dot" w:pos="9360"/>
                </w:tabs>
              </w:pPr>
              <w:r>
                <w:fldChar w:fldCharType="begin"/>
              </w:r>
              <w:r>
                <w:instrText xml:space="preserve"> HYPERLINK \l _Toc176949139 </w:instrText>
              </w:r>
              <w:r>
                <w:fldChar w:fldCharType="separate"/>
              </w:r>
              <w:r>
                <w:rPr>
                  <w:rFonts w:ascii="Arial" w:hAnsi="Arial" w:eastAsia="Arial" w:cs="Arial"/>
                  <w:szCs w:val="22"/>
                </w:rPr>
                <w:t>Competitive Landscape</w:t>
              </w:r>
              <w:r>
                <w:tab/>
              </w:r>
              <w:r>
                <w:fldChar w:fldCharType="begin"/>
              </w:r>
              <w:r>
                <w:instrText xml:space="preserve"> PAGEREF _Toc176949139 \h </w:instrText>
              </w:r>
              <w:r>
                <w:fldChar w:fldCharType="separate"/>
              </w:r>
              <w:r>
                <w:t>5</w:t>
              </w:r>
              <w:r>
                <w:fldChar w:fldCharType="end"/>
              </w:r>
              <w:r>
                <w:fldChar w:fldCharType="end"/>
              </w:r>
            </w:p>
            <w:p w14:paraId="4464900D">
              <w:pPr>
                <w:pStyle w:val="16"/>
                <w:tabs>
                  <w:tab w:val="right" w:leader="dot" w:pos="9360"/>
                </w:tabs>
              </w:pPr>
              <w:r>
                <w:fldChar w:fldCharType="begin"/>
              </w:r>
              <w:r>
                <w:instrText xml:space="preserve"> HYPERLINK \l _Toc1866811725 </w:instrText>
              </w:r>
              <w:r>
                <w:fldChar w:fldCharType="separate"/>
              </w:r>
              <w:r>
                <w:rPr>
                  <w:rFonts w:ascii="Arial" w:hAnsi="Arial" w:eastAsia="Arial" w:cs="Arial"/>
                  <w:szCs w:val="22"/>
                </w:rPr>
                <w:t>Gap Analysis: Where No One is Playing</w:t>
              </w:r>
              <w:r>
                <w:tab/>
              </w:r>
              <w:r>
                <w:fldChar w:fldCharType="begin"/>
              </w:r>
              <w:r>
                <w:instrText xml:space="preserve"> PAGEREF _Toc1866811725 \h </w:instrText>
              </w:r>
              <w:r>
                <w:fldChar w:fldCharType="separate"/>
              </w:r>
              <w:r>
                <w:t>10</w:t>
              </w:r>
              <w:r>
                <w:fldChar w:fldCharType="end"/>
              </w:r>
              <w:r>
                <w:fldChar w:fldCharType="end"/>
              </w:r>
            </w:p>
            <w:p w14:paraId="0B5B46BB">
              <w:pPr>
                <w:pStyle w:val="16"/>
                <w:tabs>
                  <w:tab w:val="right" w:leader="dot" w:pos="9360"/>
                </w:tabs>
              </w:pPr>
              <w:r>
                <w:fldChar w:fldCharType="begin"/>
              </w:r>
              <w:r>
                <w:instrText xml:space="preserve"> HYPERLINK \l _Toc768579405 </w:instrText>
              </w:r>
              <w:r>
                <w:fldChar w:fldCharType="separate"/>
              </w:r>
              <w:r>
                <w:rPr>
                  <w:rFonts w:ascii="Arial" w:hAnsi="Arial" w:eastAsia="Arial" w:cs="Arial"/>
                  <w:szCs w:val="22"/>
                </w:rPr>
                <w:t>Market Sizing Estimate</w:t>
              </w:r>
              <w:r>
                <w:tab/>
              </w:r>
              <w:r>
                <w:fldChar w:fldCharType="begin"/>
              </w:r>
              <w:r>
                <w:instrText xml:space="preserve"> PAGEREF _Toc768579405 \h </w:instrText>
              </w:r>
              <w:r>
                <w:fldChar w:fldCharType="separate"/>
              </w:r>
              <w:r>
                <w:t>11</w:t>
              </w:r>
              <w:r>
                <w:fldChar w:fldCharType="end"/>
              </w:r>
              <w:r>
                <w:fldChar w:fldCharType="end"/>
              </w:r>
            </w:p>
            <w:p w14:paraId="67927308">
              <w:pPr>
                <w:pStyle w:val="16"/>
                <w:tabs>
                  <w:tab w:val="right" w:leader="dot" w:pos="9360"/>
                </w:tabs>
              </w:pPr>
              <w:r>
                <w:fldChar w:fldCharType="begin"/>
              </w:r>
              <w:r>
                <w:instrText xml:space="preserve"> HYPERLINK \l _Toc399923130 </w:instrText>
              </w:r>
              <w:r>
                <w:fldChar w:fldCharType="separate"/>
              </w:r>
              <w:r>
                <w:rPr>
                  <w:rFonts w:ascii="Arial" w:hAnsi="Arial" w:eastAsia="Arial" w:cs="Arial"/>
                  <w:szCs w:val="22"/>
                </w:rPr>
                <w:t>Preliminary Positioning Implications</w:t>
              </w:r>
              <w:r>
                <w:tab/>
              </w:r>
              <w:r>
                <w:fldChar w:fldCharType="begin"/>
              </w:r>
              <w:r>
                <w:instrText xml:space="preserve"> PAGEREF _Toc399923130 \h </w:instrText>
              </w:r>
              <w:r>
                <w:fldChar w:fldCharType="separate"/>
              </w:r>
              <w:r>
                <w:t>13</w:t>
              </w:r>
              <w:r>
                <w:fldChar w:fldCharType="end"/>
              </w:r>
              <w:r>
                <w:fldChar w:fldCharType="end"/>
              </w:r>
            </w:p>
            <w:p w14:paraId="29917ED7">
              <w:pPr>
                <w:pStyle w:val="16"/>
                <w:tabs>
                  <w:tab w:val="right" w:leader="dot" w:pos="9360"/>
                </w:tabs>
              </w:pPr>
              <w:r>
                <w:fldChar w:fldCharType="begin"/>
              </w:r>
              <w:r>
                <w:instrText xml:space="preserve"> HYPERLINK \l _Toc2031714447 </w:instrText>
              </w:r>
              <w:r>
                <w:fldChar w:fldCharType="separate"/>
              </w:r>
              <w:r>
                <w:rPr>
                  <w:rFonts w:ascii="Arial" w:hAnsi="Arial" w:eastAsia="Arial" w:cs="Arial"/>
                  <w:szCs w:val="22"/>
                </w:rPr>
                <w:t>Recommended Next Steps</w:t>
              </w:r>
              <w:r>
                <w:tab/>
              </w:r>
              <w:r>
                <w:fldChar w:fldCharType="begin"/>
              </w:r>
              <w:r>
                <w:instrText xml:space="preserve"> PAGEREF _Toc2031714447 \h </w:instrText>
              </w:r>
              <w:r>
                <w:fldChar w:fldCharType="separate"/>
              </w:r>
              <w:r>
                <w:t>14</w:t>
              </w:r>
              <w:r>
                <w:fldChar w:fldCharType="end"/>
              </w:r>
              <w:r>
                <w:fldChar w:fldCharType="end"/>
              </w:r>
            </w:p>
            <w:p w14:paraId="62767D4A">
              <w:pPr>
                <w:pStyle w:val="16"/>
                <w:tabs>
                  <w:tab w:val="right" w:leader="dot" w:pos="9360"/>
                </w:tabs>
              </w:pPr>
              <w:r>
                <w:fldChar w:fldCharType="begin"/>
              </w:r>
              <w:r>
                <w:instrText xml:space="preserve"> HYPERLINK \l _Toc2034723429 </w:instrText>
              </w:r>
              <w:r>
                <w:fldChar w:fldCharType="separate"/>
              </w:r>
              <w:r>
                <w:rPr>
                  <w:rFonts w:ascii="Arial" w:hAnsi="Arial" w:eastAsia="Arial" w:cs="Arial"/>
                  <w:szCs w:val="22"/>
                </w:rPr>
                <w:t>Sources &amp; References</w:t>
              </w:r>
              <w:r>
                <w:tab/>
              </w:r>
              <w:r>
                <w:fldChar w:fldCharType="begin"/>
              </w:r>
              <w:r>
                <w:instrText xml:space="preserve"> PAGEREF _Toc2034723429 \h </w:instrText>
              </w:r>
              <w:r>
                <w:fldChar w:fldCharType="separate"/>
              </w:r>
              <w:r>
                <w:t>14</w:t>
              </w:r>
              <w:r>
                <w:fldChar w:fldCharType="end"/>
              </w:r>
              <w:r>
                <w:fldChar w:fldCharType="end"/>
              </w:r>
            </w:p>
            <w:p w14:paraId="2617F6A5">
              <w:r>
                <w:fldChar w:fldCharType="end"/>
              </w:r>
            </w:p>
          </w:sdtContent>
        </w:sdt>
        <w:p w14:paraId="26105D54"/>
        <w:p w14:paraId="353F358E">
          <w:r>
            <w:fldChar w:fldCharType="begin"/>
          </w:r>
          <w:r>
            <w:instrText xml:space="preserve">TOC \h \o "1-3"</w:instrText>
          </w:r>
          <w:r>
            <w:fldChar w:fldCharType="separate"/>
          </w:r>
        </w:p>
        <w:p w14:paraId="2491BEA1">
          <w:r>
            <w:fldChar w:fldCharType="end"/>
          </w:r>
        </w:p>
      </w:sdtContent>
    </w:sdt>
    <w:p w14:paraId="606C93AF">
      <w:r>
        <w:br w:type="page"/>
      </w:r>
    </w:p>
    <w:p w14:paraId="4410679B">
      <w:pPr>
        <w:pStyle w:val="2"/>
        <w:spacing w:before="0" w:after="120"/>
      </w:pPr>
      <w:bookmarkStart w:id="1" w:name="_Toc700668442"/>
      <w:r>
        <w:rPr>
          <w:rFonts w:ascii="Arial" w:hAnsi="Arial" w:eastAsia="Arial" w:cs="Arial"/>
          <w:color w:val="333333"/>
          <w:sz w:val="22"/>
          <w:szCs w:val="22"/>
        </w:rPr>
        <w:t>Executive Summary</w:t>
      </w:r>
      <w:bookmarkEnd w:id="1"/>
    </w:p>
    <w:p w14:paraId="0C3D31B7">
      <w:pPr>
        <w:spacing w:before="0" w:after="120"/>
        <w:jc w:val="both"/>
      </w:pPr>
      <w:r>
        <w:rPr>
          <w:rFonts w:ascii="Arial" w:hAnsi="Arial" w:eastAsia="Arial" w:cs="Arial"/>
          <w:color w:val="333333"/>
          <w:sz w:val="22"/>
          <w:szCs w:val="22"/>
        </w:rPr>
        <w:t>This document provides a comprehensive analysis of the competitive landscape and market opportunity for IqbalAI, an AI-powered education platform targeting Pakistan’s government school system. The analysis covers global AI education leaders, Pakistan-specific edtech players, school management system (SMS) vendors, the government policy environment, and market sizing.</w:t>
      </w:r>
    </w:p>
    <w:p w14:paraId="2AB7F649">
      <w:pPr>
        <w:pBdr>
          <w:left w:val="single" w:color="2E86C1" w:sz="12" w:space="8"/>
        </w:pBdr>
        <w:spacing w:before="120" w:after="120"/>
        <w:ind w:left="360"/>
      </w:pPr>
      <w:r>
        <w:rPr>
          <w:rFonts w:ascii="Arial" w:hAnsi="Arial" w:eastAsia="Arial" w:cs="Arial"/>
          <w:i/>
          <w:iCs/>
          <w:color w:val="1B4F72"/>
          <w:sz w:val="22"/>
          <w:szCs w:val="22"/>
        </w:rPr>
        <w:t>Key finding: Pakistan has 350,000+ educational institutions serving 56 million students, with 25.1 million out of school. No existing player combines AI tutoring, lesson generation, and school management in a single Urdu-first platform built for government procurement.</w:t>
      </w:r>
    </w:p>
    <w:p w14:paraId="0B50FEEF">
      <w:pPr>
        <w:spacing w:before="0" w:after="120"/>
        <w:jc w:val="both"/>
      </w:pPr>
      <w:r>
        <w:rPr>
          <w:rFonts w:ascii="Arial" w:hAnsi="Arial" w:eastAsia="Arial" w:cs="Arial"/>
          <w:color w:val="333333"/>
          <w:sz w:val="22"/>
          <w:szCs w:val="22"/>
        </w:rPr>
        <w:t>The global AI tutoring market was valued at approximately $1.63 billion in 2024 and is projected to reach $7.99 billion by 2030. Pakistan’s National AI Policy 2025 explicitly targets AI in education as a transformation priority, with plans to train 1 million AI professionals by 2027. This creates a rare convergence of government demand, policy support, and technology readiness that IqbalAI is positioned to capitalize on.</w:t>
      </w:r>
    </w:p>
    <w:p w14:paraId="105F3A8A">
      <w:r>
        <w:br w:type="page"/>
      </w:r>
    </w:p>
    <w:p w14:paraId="6F9433FB">
      <w:pPr>
        <w:pStyle w:val="2"/>
        <w:spacing w:before="0" w:after="120"/>
      </w:pPr>
      <w:bookmarkStart w:id="2" w:name="_Toc1481668193"/>
      <w:r>
        <w:rPr>
          <w:rFonts w:ascii="Arial" w:hAnsi="Arial" w:eastAsia="Arial" w:cs="Arial"/>
          <w:color w:val="333333"/>
          <w:sz w:val="22"/>
          <w:szCs w:val="22"/>
        </w:rPr>
        <w:t>Pakistan Education Market Overview</w:t>
      </w:r>
      <w:bookmarkEnd w:id="2"/>
    </w:p>
    <w:p w14:paraId="47033D16">
      <w:pPr>
        <w:pStyle w:val="3"/>
        <w:spacing w:before="0" w:after="120"/>
      </w:pPr>
      <w:r>
        <w:rPr>
          <w:rFonts w:ascii="Arial" w:hAnsi="Arial" w:eastAsia="Arial" w:cs="Arial"/>
          <w:color w:val="333333"/>
          <w:sz w:val="22"/>
          <w:szCs w:val="22"/>
        </w:rPr>
        <w:t>Market Scale</w:t>
      </w:r>
    </w:p>
    <w:p w14:paraId="17857F5B">
      <w:pPr>
        <w:spacing w:before="0" w:after="120"/>
      </w:pPr>
      <w:r>
        <w:rPr>
          <w:rFonts w:ascii="Arial" w:hAnsi="Arial" w:eastAsia="Arial" w:cs="Arial"/>
          <w:color w:val="333333"/>
          <w:sz w:val="22"/>
          <w:szCs w:val="22"/>
        </w:rPr>
        <w:t xml:space="preserve">Pakistan’s education system is one of the largest and most </w:t>
      </w:r>
      <w:r>
        <w:rPr>
          <w:rFonts w:cs="Arial"/>
          <w:color w:val="333333"/>
          <w:sz w:val="22"/>
          <w:szCs w:val="22"/>
          <w:lang w:val="en-US"/>
        </w:rPr>
        <w:t>under-served</w:t>
      </w:r>
      <w:r>
        <w:rPr>
          <w:rFonts w:ascii="Arial" w:hAnsi="Arial" w:eastAsia="Arial" w:cs="Arial"/>
          <w:color w:val="333333"/>
          <w:sz w:val="22"/>
          <w:szCs w:val="22"/>
        </w:rPr>
        <w:t xml:space="preserve"> in the world. Understanding the raw numbers is essential for sizing the opportunity.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4F8C126B">
        <w:tc>
          <w:tcPr>
            <w:tcW w:w="4680" w:type="dxa"/>
            <w:tcBorders>
              <w:top w:val="single" w:color="CCCCCC" w:sz="0" w:space="0"/>
              <w:left w:val="single" w:color="CCCCCC" w:sz="0" w:space="0"/>
              <w:bottom w:val="single" w:color="CCCCCC" w:sz="0" w:space="0"/>
              <w:right w:val="single" w:color="CCCCCC" w:sz="0" w:space="0"/>
            </w:tcBorders>
            <w:shd w:val="clear" w:color="auto" w:fill="1B4F72"/>
            <w:tcMar>
              <w:top w:w="80" w:type="dxa"/>
              <w:left w:w="120" w:type="dxa"/>
              <w:bottom w:w="80" w:type="dxa"/>
              <w:right w:w="120" w:type="dxa"/>
            </w:tcMar>
            <w:vAlign w:val="center"/>
          </w:tcPr>
          <w:p w14:paraId="5571D65E">
            <w:pPr>
              <w:spacing w:after="0"/>
            </w:pPr>
            <w:r>
              <w:rPr>
                <w:rFonts w:ascii="Arial" w:hAnsi="Arial" w:eastAsia="Arial" w:cs="Arial"/>
                <w:b/>
                <w:bCs/>
                <w:color w:val="FFFFFF"/>
                <w:sz w:val="20"/>
                <w:szCs w:val="20"/>
              </w:rPr>
              <w:t>Metric</w:t>
            </w:r>
          </w:p>
        </w:tc>
        <w:tc>
          <w:tcPr>
            <w:tcW w:w="4680" w:type="dxa"/>
            <w:tcBorders>
              <w:top w:val="single" w:color="CCCCCC" w:sz="0" w:space="0"/>
              <w:left w:val="single" w:color="CCCCCC" w:sz="0" w:space="0"/>
              <w:bottom w:val="single" w:color="CCCCCC" w:sz="0" w:space="0"/>
              <w:right w:val="single" w:color="CCCCCC" w:sz="0" w:space="0"/>
            </w:tcBorders>
            <w:shd w:val="clear" w:color="auto" w:fill="1B4F72"/>
            <w:tcMar>
              <w:top w:w="80" w:type="dxa"/>
              <w:left w:w="120" w:type="dxa"/>
              <w:bottom w:w="80" w:type="dxa"/>
              <w:right w:w="120" w:type="dxa"/>
            </w:tcMar>
            <w:vAlign w:val="center"/>
          </w:tcPr>
          <w:p w14:paraId="5CED105C">
            <w:pPr>
              <w:spacing w:after="0"/>
            </w:pPr>
            <w:r>
              <w:rPr>
                <w:rFonts w:ascii="Arial" w:hAnsi="Arial" w:eastAsia="Arial" w:cs="Arial"/>
                <w:b/>
                <w:bCs/>
                <w:color w:val="FFFFFF"/>
                <w:sz w:val="20"/>
                <w:szCs w:val="20"/>
              </w:rPr>
              <w:t>Data</w:t>
            </w:r>
          </w:p>
        </w:tc>
      </w:tr>
      <w:tr w14:paraId="2308F710">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442D0FC">
            <w:pPr>
              <w:spacing w:after="0"/>
            </w:pPr>
            <w:r>
              <w:rPr>
                <w:rFonts w:ascii="Arial" w:hAnsi="Arial" w:eastAsia="Arial" w:cs="Arial"/>
                <w:b w:val="0"/>
                <w:bCs w:val="0"/>
                <w:color w:val="333333"/>
                <w:sz w:val="20"/>
                <w:szCs w:val="20"/>
              </w:rPr>
              <w:t>Total Educational Institutions</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C923C6D">
            <w:pPr>
              <w:spacing w:after="0"/>
            </w:pPr>
            <w:r>
              <w:rPr>
                <w:rFonts w:ascii="Arial" w:hAnsi="Arial" w:eastAsia="Arial" w:cs="Arial"/>
                <w:b w:val="0"/>
                <w:bCs w:val="0"/>
                <w:color w:val="333333"/>
                <w:sz w:val="20"/>
                <w:szCs w:val="20"/>
              </w:rPr>
              <w:t>349,909 (2022-23)</w:t>
            </w:r>
          </w:p>
        </w:tc>
      </w:tr>
      <w:tr w14:paraId="37516EB5">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A511C7D">
            <w:pPr>
              <w:spacing w:after="0"/>
            </w:pPr>
            <w:r>
              <w:rPr>
                <w:rFonts w:ascii="Arial" w:hAnsi="Arial" w:eastAsia="Arial" w:cs="Arial"/>
                <w:b w:val="0"/>
                <w:bCs w:val="0"/>
                <w:color w:val="333333"/>
                <w:sz w:val="20"/>
                <w:szCs w:val="20"/>
              </w:rPr>
              <w:t>Total Student Enrollment</w:t>
            </w:r>
          </w:p>
        </w:tc>
        <w:tc>
          <w:tcPr>
            <w:tcW w:w="468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64C350CF">
            <w:pPr>
              <w:spacing w:after="0"/>
            </w:pPr>
            <w:r>
              <w:rPr>
                <w:rFonts w:ascii="Arial" w:hAnsi="Arial" w:eastAsia="Arial" w:cs="Arial"/>
                <w:b w:val="0"/>
                <w:bCs w:val="0"/>
                <w:color w:val="333333"/>
                <w:sz w:val="20"/>
                <w:szCs w:val="20"/>
              </w:rPr>
              <w:t>56 million+</w:t>
            </w:r>
          </w:p>
        </w:tc>
      </w:tr>
      <w:tr w14:paraId="54A2EB6A">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064C228">
            <w:pPr>
              <w:spacing w:after="0"/>
            </w:pPr>
            <w:r>
              <w:rPr>
                <w:rFonts w:ascii="Arial" w:hAnsi="Arial" w:eastAsia="Arial" w:cs="Arial"/>
                <w:b w:val="0"/>
                <w:bCs w:val="0"/>
                <w:color w:val="333333"/>
                <w:sz w:val="20"/>
                <w:szCs w:val="20"/>
              </w:rPr>
              <w:t>Out-of-School Children (5-16)</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01B390C">
            <w:pPr>
              <w:spacing w:after="0"/>
            </w:pPr>
            <w:r>
              <w:rPr>
                <w:rFonts w:ascii="Arial" w:hAnsi="Arial" w:eastAsia="Arial" w:cs="Arial"/>
                <w:b w:val="0"/>
                <w:bCs w:val="0"/>
                <w:color w:val="333333"/>
                <w:sz w:val="20"/>
                <w:szCs w:val="20"/>
              </w:rPr>
              <w:t>25.1 million (35% of age group)</w:t>
            </w:r>
          </w:p>
        </w:tc>
      </w:tr>
      <w:tr w14:paraId="474FA2A2">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E3C30D9">
            <w:pPr>
              <w:spacing w:after="0"/>
            </w:pPr>
            <w:r>
              <w:rPr>
                <w:rFonts w:ascii="Arial" w:hAnsi="Arial" w:eastAsia="Arial" w:cs="Arial"/>
                <w:b w:val="0"/>
                <w:bCs w:val="0"/>
                <w:color w:val="333333"/>
                <w:sz w:val="20"/>
                <w:szCs w:val="20"/>
              </w:rPr>
              <w:t>Punjab OOSC</w:t>
            </w:r>
          </w:p>
        </w:tc>
        <w:tc>
          <w:tcPr>
            <w:tcW w:w="468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1450698B">
            <w:pPr>
              <w:spacing w:after="0"/>
            </w:pPr>
            <w:r>
              <w:rPr>
                <w:rFonts w:ascii="Arial" w:hAnsi="Arial" w:eastAsia="Arial" w:cs="Arial"/>
                <w:b w:val="0"/>
                <w:bCs w:val="0"/>
                <w:color w:val="333333"/>
                <w:sz w:val="20"/>
                <w:szCs w:val="20"/>
              </w:rPr>
              <w:t>9.7 million (27% of provincial cohort)</w:t>
            </w:r>
          </w:p>
        </w:tc>
      </w:tr>
      <w:tr w14:paraId="643ED042">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1BCCDD2">
            <w:pPr>
              <w:spacing w:after="0"/>
            </w:pPr>
            <w:r>
              <w:rPr>
                <w:rFonts w:ascii="Arial" w:hAnsi="Arial" w:eastAsia="Arial" w:cs="Arial"/>
                <w:b w:val="0"/>
                <w:bCs w:val="0"/>
                <w:color w:val="333333"/>
                <w:sz w:val="20"/>
                <w:szCs w:val="20"/>
              </w:rPr>
              <w:t>Total Teachers (public + private)</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C056EA3">
            <w:pPr>
              <w:spacing w:after="0"/>
            </w:pPr>
            <w:r>
              <w:rPr>
                <w:rFonts w:ascii="Arial" w:hAnsi="Arial" w:eastAsia="Arial" w:cs="Arial"/>
                <w:b w:val="0"/>
                <w:bCs w:val="0"/>
                <w:color w:val="333333"/>
                <w:sz w:val="20"/>
                <w:szCs w:val="20"/>
              </w:rPr>
              <w:t>~1.4 million</w:t>
            </w:r>
          </w:p>
        </w:tc>
      </w:tr>
      <w:tr w14:paraId="0A040CDA">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4DB3774">
            <w:pPr>
              <w:spacing w:after="0"/>
            </w:pPr>
            <w:r>
              <w:rPr>
                <w:rFonts w:ascii="Arial" w:hAnsi="Arial" w:eastAsia="Arial" w:cs="Arial"/>
                <w:b w:val="0"/>
                <w:bCs w:val="0"/>
                <w:color w:val="333333"/>
                <w:sz w:val="20"/>
                <w:szCs w:val="20"/>
              </w:rPr>
              <w:t>National Literacy Rate</w:t>
            </w:r>
          </w:p>
        </w:tc>
        <w:tc>
          <w:tcPr>
            <w:tcW w:w="468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3EC2B35F">
            <w:pPr>
              <w:spacing w:after="0"/>
            </w:pPr>
            <w:r>
              <w:rPr>
                <w:rFonts w:ascii="Arial" w:hAnsi="Arial" w:eastAsia="Arial" w:cs="Arial"/>
                <w:b w:val="0"/>
                <w:bCs w:val="0"/>
                <w:color w:val="333333"/>
                <w:sz w:val="20"/>
                <w:szCs w:val="20"/>
              </w:rPr>
              <w:t>~62%</w:t>
            </w:r>
          </w:p>
        </w:tc>
      </w:tr>
      <w:tr w14:paraId="2065AFD6">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6230A13">
            <w:pPr>
              <w:spacing w:after="0"/>
            </w:pPr>
            <w:r>
              <w:rPr>
                <w:rFonts w:ascii="Arial" w:hAnsi="Arial" w:eastAsia="Arial" w:cs="Arial"/>
                <w:b w:val="0"/>
                <w:bCs w:val="0"/>
                <w:color w:val="333333"/>
                <w:sz w:val="20"/>
                <w:szCs w:val="20"/>
              </w:rPr>
              <w:t>Education Budget (% of GDP)</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F17EA83">
            <w:pPr>
              <w:spacing w:after="0"/>
            </w:pPr>
            <w:r>
              <w:rPr>
                <w:rFonts w:ascii="Arial" w:hAnsi="Arial" w:eastAsia="Arial" w:cs="Arial"/>
                <w:b w:val="0"/>
                <w:bCs w:val="0"/>
                <w:color w:val="333333"/>
                <w:sz w:val="20"/>
                <w:szCs w:val="20"/>
              </w:rPr>
              <w:t>1.4% of GDP (2024, down from 2.1% in 2015)</w:t>
            </w:r>
          </w:p>
        </w:tc>
      </w:tr>
      <w:tr w14:paraId="696F9A33">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AD07B7B">
            <w:pPr>
              <w:spacing w:after="0"/>
            </w:pPr>
            <w:r>
              <w:rPr>
                <w:rFonts w:ascii="Arial" w:hAnsi="Arial" w:eastAsia="Arial" w:cs="Arial"/>
                <w:b w:val="0"/>
                <w:bCs w:val="0"/>
                <w:color w:val="333333"/>
                <w:sz w:val="20"/>
                <w:szCs w:val="20"/>
              </w:rPr>
              <w:t>Recurrent Cost Share</w:t>
            </w:r>
          </w:p>
        </w:tc>
        <w:tc>
          <w:tcPr>
            <w:tcW w:w="468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1EC4A029">
            <w:pPr>
              <w:spacing w:after="0"/>
            </w:pPr>
            <w:r>
              <w:rPr>
                <w:rFonts w:ascii="Arial" w:hAnsi="Arial" w:eastAsia="Arial" w:cs="Arial"/>
                <w:b w:val="0"/>
                <w:bCs w:val="0"/>
                <w:color w:val="333333"/>
                <w:sz w:val="20"/>
                <w:szCs w:val="20"/>
              </w:rPr>
              <w:t>~90% (mostly teacher salaries)</w:t>
            </w:r>
          </w:p>
        </w:tc>
      </w:tr>
      <w:tr w14:paraId="4DC5E1E6">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B59A6FD">
            <w:pPr>
              <w:spacing w:after="0"/>
            </w:pPr>
            <w:r>
              <w:rPr>
                <w:rFonts w:ascii="Arial" w:hAnsi="Arial" w:eastAsia="Arial" w:cs="Arial"/>
                <w:b w:val="0"/>
                <w:bCs w:val="0"/>
                <w:color w:val="333333"/>
                <w:sz w:val="20"/>
                <w:szCs w:val="20"/>
              </w:rPr>
              <w:t>Punjab: Children without foundational reading</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D4BC45E">
            <w:pPr>
              <w:spacing w:after="0"/>
            </w:pPr>
            <w:r>
              <w:rPr>
                <w:rFonts w:ascii="Arial" w:hAnsi="Arial" w:eastAsia="Arial" w:cs="Arial"/>
                <w:b w:val="0"/>
                <w:bCs w:val="0"/>
                <w:color w:val="333333"/>
                <w:sz w:val="20"/>
                <w:szCs w:val="20"/>
              </w:rPr>
              <w:t>64% of ages 7-14</w:t>
            </w:r>
          </w:p>
        </w:tc>
      </w:tr>
      <w:tr w14:paraId="5B7EB3CB">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91B1D76">
            <w:pPr>
              <w:spacing w:after="0"/>
            </w:pPr>
            <w:r>
              <w:rPr>
                <w:rFonts w:ascii="Arial" w:hAnsi="Arial" w:eastAsia="Arial" w:cs="Arial"/>
                <w:b w:val="0"/>
                <w:bCs w:val="0"/>
                <w:color w:val="333333"/>
                <w:sz w:val="20"/>
                <w:szCs w:val="20"/>
              </w:rPr>
              <w:t>Punjab: Children without foundational numeracy</w:t>
            </w:r>
          </w:p>
        </w:tc>
        <w:tc>
          <w:tcPr>
            <w:tcW w:w="468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3661DE9A">
            <w:pPr>
              <w:spacing w:after="0"/>
            </w:pPr>
            <w:r>
              <w:rPr>
                <w:rFonts w:ascii="Arial" w:hAnsi="Arial" w:eastAsia="Arial" w:cs="Arial"/>
                <w:b w:val="0"/>
                <w:bCs w:val="0"/>
                <w:color w:val="333333"/>
                <w:sz w:val="20"/>
                <w:szCs w:val="20"/>
              </w:rPr>
              <w:t>88% of ages 7-14</w:t>
            </w:r>
          </w:p>
        </w:tc>
      </w:tr>
    </w:tbl>
    <w:p w14:paraId="3CD3900C">
      <w:pPr>
        <w:spacing w:before="80" w:after="120"/>
      </w:pPr>
      <w:r>
        <w:rPr>
          <w:rFonts w:ascii="Arial" w:hAnsi="Arial" w:eastAsia="Arial" w:cs="Arial"/>
          <w:i/>
          <w:iCs/>
          <w:color w:val="666666"/>
          <w:sz w:val="18"/>
          <w:szCs w:val="18"/>
        </w:rPr>
        <w:t>Sources: UNICEF Pakistan, Pakistan Education Statistics 2022-23, Pakistan Economic Survey.</w:t>
      </w:r>
    </w:p>
    <w:p w14:paraId="4ACAF35D">
      <w:pPr>
        <w:pStyle w:val="3"/>
        <w:spacing w:before="0" w:after="120"/>
      </w:pPr>
      <w:r>
        <w:rPr>
          <w:rFonts w:ascii="Arial" w:hAnsi="Arial" w:eastAsia="Arial" w:cs="Arial"/>
          <w:color w:val="333333"/>
          <w:sz w:val="22"/>
          <w:szCs w:val="22"/>
        </w:rPr>
        <w:t>Government Policy Tailwinds</w:t>
      </w:r>
    </w:p>
    <w:p w14:paraId="04DB1362">
      <w:pPr>
        <w:spacing w:before="0" w:after="120"/>
      </w:pPr>
      <w:r>
        <w:rPr>
          <w:rFonts w:ascii="Arial" w:hAnsi="Arial" w:eastAsia="Arial" w:cs="Arial"/>
          <w:color w:val="333333"/>
          <w:sz w:val="22"/>
          <w:szCs w:val="22"/>
        </w:rPr>
        <w:t>Several recent government initiatives create favorable conditions for IqbalAI’s entry:</w:t>
      </w:r>
    </w:p>
    <w:p w14:paraId="222FBCB5">
      <w:pPr>
        <w:spacing w:before="0" w:after="120"/>
      </w:pPr>
      <w:r>
        <w:rPr>
          <w:rFonts w:ascii="Arial" w:hAnsi="Arial" w:eastAsia="Arial" w:cs="Arial"/>
          <w:b/>
          <w:bCs/>
          <w:color w:val="333333"/>
          <w:sz w:val="22"/>
          <w:szCs w:val="22"/>
        </w:rPr>
        <w:t xml:space="preserve">National AI Policy 2025: </w:t>
      </w:r>
      <w:r>
        <w:rPr>
          <w:rFonts w:ascii="Arial" w:hAnsi="Arial" w:eastAsia="Arial" w:cs="Arial"/>
          <w:color w:val="333333"/>
          <w:sz w:val="22"/>
          <w:szCs w:val="22"/>
        </w:rPr>
        <w:t>Approved by federal cabinet in July 2025. Sets targets of 90% AI awareness by 2026, 1 million trained learners and 10,000 trainers by 2027. Explicitly calls for personalized AI learning platforms in education. Establishes National AI Fund (NAIF) and Centers of Excellence.</w:t>
      </w:r>
    </w:p>
    <w:p w14:paraId="5F16864A">
      <w:pPr>
        <w:spacing w:before="0" w:after="120"/>
      </w:pPr>
      <w:r>
        <w:rPr>
          <w:rFonts w:ascii="Arial" w:hAnsi="Arial" w:eastAsia="Arial" w:cs="Arial"/>
          <w:b/>
          <w:bCs/>
          <w:color w:val="333333"/>
          <w:sz w:val="22"/>
          <w:szCs w:val="22"/>
        </w:rPr>
        <w:t xml:space="preserve">PITB Digital Punjab: </w:t>
      </w:r>
      <w:r>
        <w:rPr>
          <w:rFonts w:ascii="Arial" w:hAnsi="Arial" w:eastAsia="Arial" w:cs="Arial"/>
          <w:color w:val="333333"/>
          <w:sz w:val="22"/>
          <w:szCs w:val="22"/>
        </w:rPr>
        <w:t>Punjab Information Technology Board runs education technology initiatives including Smart Monitoring of Schools, eLearn Punjab, and a Data Collection &amp; Verification System for partner schools. PITB has introduced a new data collection system for Punjab Education Foundation partner schools as recently as February 2026.</w:t>
      </w:r>
    </w:p>
    <w:p w14:paraId="5D3FA09D">
      <w:pPr>
        <w:spacing w:before="0" w:after="120"/>
      </w:pPr>
      <w:r>
        <w:rPr>
          <w:rFonts w:ascii="Arial" w:hAnsi="Arial" w:eastAsia="Arial" w:cs="Arial"/>
          <w:b/>
          <w:bCs/>
          <w:color w:val="333333"/>
          <w:sz w:val="22"/>
          <w:szCs w:val="22"/>
        </w:rPr>
        <w:t xml:space="preserve">Punjab School Information System (SIS): </w:t>
      </w:r>
      <w:r>
        <w:rPr>
          <w:rFonts w:ascii="Arial" w:hAnsi="Arial" w:eastAsia="Arial" w:cs="Arial"/>
          <w:color w:val="333333"/>
          <w:sz w:val="22"/>
          <w:szCs w:val="22"/>
        </w:rPr>
        <w:t>Already deployed across Punjab public schools using Android tablets for self-reporting data on students, teachers, and facilities. NADRA-verified enrollment. This infrastructure proves government appetite for school-level digital tools.</w:t>
      </w:r>
    </w:p>
    <w:p w14:paraId="54786BE2">
      <w:pPr>
        <w:spacing w:before="0" w:after="120"/>
      </w:pPr>
      <w:r>
        <w:rPr>
          <w:rFonts w:ascii="Arial" w:hAnsi="Arial" w:eastAsia="Arial" w:cs="Arial"/>
          <w:b/>
          <w:bCs/>
          <w:color w:val="333333"/>
          <w:sz w:val="22"/>
          <w:szCs w:val="22"/>
        </w:rPr>
        <w:t xml:space="preserve">CM Punjab IT Certifications Program: </w:t>
      </w:r>
      <w:r>
        <w:rPr>
          <w:rFonts w:ascii="Arial" w:hAnsi="Arial" w:eastAsia="Arial" w:cs="Arial"/>
          <w:color w:val="333333"/>
          <w:sz w:val="22"/>
          <w:szCs w:val="22"/>
        </w:rPr>
        <w:t>Free international IT certifications (Google, IBM, Microsoft, Meta) funded by the Punjab government through PITB. Shows the provincial government’s active investment in digital skills and technology adoption.</w:t>
      </w:r>
    </w:p>
    <w:p w14:paraId="0C82D4FA">
      <w:pPr>
        <w:spacing w:before="0" w:after="120"/>
      </w:pPr>
      <w:r>
        <w:rPr>
          <w:rFonts w:ascii="Arial" w:hAnsi="Arial" w:eastAsia="Arial" w:cs="Arial"/>
          <w:b/>
          <w:bCs/>
          <w:color w:val="333333"/>
          <w:sz w:val="22"/>
          <w:szCs w:val="22"/>
        </w:rPr>
        <w:t xml:space="preserve">Punjab Education Foundation (PEF): </w:t>
      </w:r>
      <w:r>
        <w:rPr>
          <w:rFonts w:ascii="Arial" w:hAnsi="Arial" w:eastAsia="Arial" w:cs="Arial"/>
          <w:color w:val="333333"/>
          <w:sz w:val="22"/>
          <w:szCs w:val="22"/>
        </w:rPr>
        <w:t>Provides subsidies to private schools serving low-income students. A potential channel for IqbalAI deployment where the government pays for per-student education technology.</w:t>
      </w:r>
    </w:p>
    <w:p w14:paraId="35688F26">
      <w:pPr>
        <w:pBdr>
          <w:left w:val="single" w:color="2E86C1" w:sz="12" w:space="8"/>
        </w:pBdr>
        <w:spacing w:before="120" w:after="120"/>
        <w:ind w:left="360"/>
      </w:pPr>
      <w:r>
        <w:rPr>
          <w:rFonts w:ascii="Arial" w:hAnsi="Arial" w:eastAsia="Arial" w:cs="Arial"/>
          <w:i/>
          <w:iCs/>
          <w:color w:val="1B4F72"/>
          <w:sz w:val="22"/>
          <w:szCs w:val="22"/>
        </w:rPr>
        <w:t>The Punjab government already has procurement infrastructure, budget lines for edtech, and an existing digital data collection system in schools. IqbalAI does not need to convince them that digitization is important — it needs to show that AI-powered teaching tools deliver measurably better outcomes than what they currently have.</w:t>
      </w:r>
    </w:p>
    <w:p w14:paraId="6374261F">
      <w:r>
        <w:br w:type="page"/>
      </w:r>
    </w:p>
    <w:p w14:paraId="1417A2E8">
      <w:pPr>
        <w:pStyle w:val="2"/>
        <w:spacing w:before="0" w:after="120"/>
      </w:pPr>
      <w:bookmarkStart w:id="3" w:name="_Toc176949139"/>
      <w:r>
        <w:rPr>
          <w:rFonts w:ascii="Arial" w:hAnsi="Arial" w:eastAsia="Arial" w:cs="Arial"/>
          <w:color w:val="333333"/>
          <w:sz w:val="22"/>
          <w:szCs w:val="22"/>
        </w:rPr>
        <w:t>Competitive Landscape</w:t>
      </w:r>
      <w:bookmarkEnd w:id="3"/>
    </w:p>
    <w:p w14:paraId="78C5ECAD">
      <w:pPr>
        <w:spacing w:before="0" w:after="120"/>
      </w:pPr>
      <w:r>
        <w:rPr>
          <w:rFonts w:ascii="Arial" w:hAnsi="Arial" w:eastAsia="Arial" w:cs="Arial"/>
          <w:color w:val="333333"/>
          <w:sz w:val="22"/>
          <w:szCs w:val="22"/>
        </w:rPr>
        <w:t>The competitive landscape for IqbalAI spans three distinct categories: (1) global AI education platforms, (2) Pakistan-specific edtech startups, and (3) school management system vendors. No single player currently covers all three.</w:t>
      </w:r>
    </w:p>
    <w:p w14:paraId="7A22CEEE">
      <w:pPr>
        <w:pStyle w:val="3"/>
        <w:spacing w:before="0" w:after="120"/>
      </w:pPr>
      <w:r>
        <w:rPr>
          <w:rFonts w:ascii="Arial" w:hAnsi="Arial" w:eastAsia="Arial" w:cs="Arial"/>
          <w:color w:val="333333"/>
          <w:sz w:val="22"/>
          <w:szCs w:val="22"/>
        </w:rPr>
        <w:t>Global AI Education Platforms</w:t>
      </w:r>
    </w:p>
    <w:p w14:paraId="6DB11425">
      <w:pPr>
        <w:pStyle w:val="4"/>
        <w:spacing w:before="0" w:after="120"/>
      </w:pPr>
      <w:r>
        <w:rPr>
          <w:rFonts w:ascii="Arial" w:hAnsi="Arial" w:eastAsia="Arial" w:cs="Arial"/>
          <w:color w:val="333333"/>
          <w:sz w:val="22"/>
          <w:szCs w:val="22"/>
        </w:rPr>
        <w:t>Khanmigo (Khan Academy)</w:t>
      </w:r>
    </w:p>
    <w:p w14:paraId="42CB6858">
      <w:pPr>
        <w:spacing w:before="0" w:after="120"/>
      </w:pPr>
      <w:r>
        <w:rPr>
          <w:rFonts w:ascii="Arial" w:hAnsi="Arial" w:eastAsia="Arial" w:cs="Arial"/>
          <w:color w:val="333333"/>
          <w:sz w:val="22"/>
          <w:szCs w:val="22"/>
        </w:rPr>
        <w:t>Khan Academy’s AI tutor, built on GPT-4 in partnership with OpenAI. Uses Socratic questioning to guide students rather than giving answers. Grew from 40,000 to 700,000 K-12 students in the 2024-25 academic year. Expanding to India, Brazil, and the Philippines.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6240"/>
      </w:tblGrid>
      <w:tr w14:paraId="5470383E">
        <w:tc>
          <w:tcPr>
            <w:tcW w:w="3120" w:type="dxa"/>
            <w:tcBorders>
              <w:top w:val="single" w:color="CCCCCC" w:sz="0" w:space="0"/>
              <w:left w:val="single" w:color="CCCCCC" w:sz="0" w:space="0"/>
              <w:bottom w:val="single" w:color="CCCCCC" w:sz="0" w:space="0"/>
              <w:right w:val="single" w:color="CCCCCC" w:sz="0" w:space="0"/>
            </w:tcBorders>
            <w:shd w:val="clear" w:color="auto" w:fill="1B4F72"/>
            <w:tcMar>
              <w:top w:w="80" w:type="dxa"/>
              <w:left w:w="120" w:type="dxa"/>
              <w:bottom w:w="80" w:type="dxa"/>
              <w:right w:w="120" w:type="dxa"/>
            </w:tcMar>
            <w:vAlign w:val="center"/>
          </w:tcPr>
          <w:p w14:paraId="5D72A4AE">
            <w:pPr>
              <w:spacing w:after="0"/>
            </w:pPr>
            <w:r>
              <w:rPr>
                <w:rFonts w:ascii="Arial" w:hAnsi="Arial" w:eastAsia="Arial" w:cs="Arial"/>
                <w:b/>
                <w:bCs/>
                <w:color w:val="FFFFFF"/>
                <w:sz w:val="20"/>
                <w:szCs w:val="20"/>
              </w:rPr>
              <w:t>Aspect</w:t>
            </w:r>
          </w:p>
        </w:tc>
        <w:tc>
          <w:tcPr>
            <w:tcW w:w="6240" w:type="dxa"/>
            <w:tcBorders>
              <w:top w:val="single" w:color="CCCCCC" w:sz="0" w:space="0"/>
              <w:left w:val="single" w:color="CCCCCC" w:sz="0" w:space="0"/>
              <w:bottom w:val="single" w:color="CCCCCC" w:sz="0" w:space="0"/>
              <w:right w:val="single" w:color="CCCCCC" w:sz="0" w:space="0"/>
            </w:tcBorders>
            <w:shd w:val="clear" w:color="auto" w:fill="1B4F72"/>
            <w:tcMar>
              <w:top w:w="80" w:type="dxa"/>
              <w:left w:w="120" w:type="dxa"/>
              <w:bottom w:w="80" w:type="dxa"/>
              <w:right w:w="120" w:type="dxa"/>
            </w:tcMar>
            <w:vAlign w:val="center"/>
          </w:tcPr>
          <w:p w14:paraId="058E2EFF">
            <w:pPr>
              <w:spacing w:after="0"/>
            </w:pPr>
            <w:r>
              <w:rPr>
                <w:rFonts w:ascii="Arial" w:hAnsi="Arial" w:eastAsia="Arial" w:cs="Arial"/>
                <w:b/>
                <w:bCs/>
                <w:color w:val="FFFFFF"/>
                <w:sz w:val="20"/>
                <w:szCs w:val="20"/>
              </w:rPr>
              <w:t>Details</w:t>
            </w:r>
          </w:p>
        </w:tc>
      </w:tr>
      <w:tr w14:paraId="20483AC7">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29CF32D">
            <w:pPr>
              <w:spacing w:after="0"/>
            </w:pPr>
            <w:r>
              <w:rPr>
                <w:rFonts w:ascii="Arial" w:hAnsi="Arial" w:eastAsia="Arial" w:cs="Arial"/>
                <w:b/>
                <w:bCs/>
                <w:color w:val="333333"/>
                <w:sz w:val="20"/>
                <w:szCs w:val="20"/>
              </w:rPr>
              <w:t>Target</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013F59C">
            <w:pPr>
              <w:spacing w:after="0"/>
            </w:pPr>
            <w:r>
              <w:rPr>
                <w:rFonts w:ascii="Arial" w:hAnsi="Arial" w:eastAsia="Arial" w:cs="Arial"/>
                <w:b w:val="0"/>
                <w:bCs w:val="0"/>
                <w:color w:val="333333"/>
                <w:sz w:val="20"/>
                <w:szCs w:val="20"/>
              </w:rPr>
              <w:t>K-12 students globally; US-first</w:t>
            </w:r>
          </w:p>
        </w:tc>
      </w:tr>
      <w:tr w14:paraId="2B5ECB4C">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CCFB680">
            <w:pPr>
              <w:spacing w:after="0"/>
            </w:pPr>
            <w:r>
              <w:rPr>
                <w:rFonts w:ascii="Arial" w:hAnsi="Arial" w:eastAsia="Arial" w:cs="Arial"/>
                <w:b/>
                <w:bCs/>
                <w:color w:val="333333"/>
                <w:sz w:val="20"/>
                <w:szCs w:val="20"/>
              </w:rPr>
              <w:t>Pricing</w:t>
            </w:r>
          </w:p>
        </w:tc>
        <w:tc>
          <w:tcPr>
            <w:tcW w:w="624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7F3480DA">
            <w:pPr>
              <w:spacing w:after="0"/>
            </w:pPr>
            <w:r>
              <w:rPr>
                <w:rFonts w:ascii="Arial" w:hAnsi="Arial" w:eastAsia="Arial" w:cs="Arial"/>
                <w:b w:val="0"/>
                <w:bCs w:val="0"/>
                <w:color w:val="333333"/>
                <w:sz w:val="20"/>
                <w:szCs w:val="20"/>
              </w:rPr>
              <w:t>$4/month for families; $35/student/year for districts</w:t>
            </w:r>
          </w:p>
        </w:tc>
      </w:tr>
      <w:tr w14:paraId="717D770B">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5CEF148">
            <w:pPr>
              <w:spacing w:after="0"/>
            </w:pPr>
            <w:r>
              <w:rPr>
                <w:rFonts w:ascii="Arial" w:hAnsi="Arial" w:eastAsia="Arial" w:cs="Arial"/>
                <w:b/>
                <w:bCs/>
                <w:color w:val="333333"/>
                <w:sz w:val="20"/>
                <w:szCs w:val="20"/>
              </w:rPr>
              <w:t>Key Strength</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3E6451C">
            <w:pPr>
              <w:spacing w:after="0"/>
            </w:pPr>
            <w:r>
              <w:rPr>
                <w:rFonts w:ascii="Arial" w:hAnsi="Arial" w:eastAsia="Arial" w:cs="Arial"/>
                <w:b w:val="0"/>
                <w:bCs w:val="0"/>
                <w:color w:val="333333"/>
                <w:sz w:val="20"/>
                <w:szCs w:val="20"/>
              </w:rPr>
              <w:t>Massive content library, trusted nonprofit brand, Socratic tutoring approach</w:t>
            </w:r>
          </w:p>
        </w:tc>
      </w:tr>
      <w:tr w14:paraId="5C8AD703">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F828C2A">
            <w:pPr>
              <w:spacing w:after="0"/>
            </w:pPr>
            <w:r>
              <w:rPr>
                <w:rFonts w:ascii="Arial" w:hAnsi="Arial" w:eastAsia="Arial" w:cs="Arial"/>
                <w:b/>
                <w:bCs/>
                <w:color w:val="333333"/>
                <w:sz w:val="20"/>
                <w:szCs w:val="20"/>
              </w:rPr>
              <w:t>Languages</w:t>
            </w:r>
          </w:p>
        </w:tc>
        <w:tc>
          <w:tcPr>
            <w:tcW w:w="624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50958A8A">
            <w:pPr>
              <w:spacing w:after="0"/>
            </w:pPr>
            <w:r>
              <w:rPr>
                <w:rFonts w:ascii="Arial" w:hAnsi="Arial" w:eastAsia="Arial" w:cs="Arial"/>
                <w:b w:val="0"/>
                <w:bCs w:val="0"/>
                <w:color w:val="333333"/>
                <w:sz w:val="20"/>
                <w:szCs w:val="20"/>
              </w:rPr>
              <w:t>English-first; limited multilingual support</w:t>
            </w:r>
          </w:p>
        </w:tc>
      </w:tr>
      <w:tr w14:paraId="7EDEB20C">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F626AC0">
            <w:pPr>
              <w:spacing w:after="0"/>
            </w:pPr>
            <w:r>
              <w:rPr>
                <w:rFonts w:ascii="Arial" w:hAnsi="Arial" w:eastAsia="Arial" w:cs="Arial"/>
                <w:b/>
                <w:bCs/>
                <w:color w:val="333333"/>
                <w:sz w:val="20"/>
                <w:szCs w:val="20"/>
              </w:rPr>
              <w:t>Pakistan Presence</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19E019D">
            <w:pPr>
              <w:spacing w:after="0"/>
            </w:pPr>
            <w:r>
              <w:rPr>
                <w:rFonts w:ascii="Arial" w:hAnsi="Arial" w:eastAsia="Arial" w:cs="Arial"/>
                <w:b w:val="0"/>
                <w:bCs w:val="0"/>
                <w:color w:val="333333"/>
                <w:sz w:val="20"/>
                <w:szCs w:val="20"/>
              </w:rPr>
              <w:t>None specific. No Urdu content. No government partnerships in Pakistan.</w:t>
            </w:r>
          </w:p>
        </w:tc>
      </w:tr>
      <w:tr w14:paraId="01B4BB7B">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231BFC0">
            <w:pPr>
              <w:spacing w:after="0"/>
            </w:pPr>
            <w:r>
              <w:rPr>
                <w:rFonts w:ascii="Arial" w:hAnsi="Arial" w:eastAsia="Arial" w:cs="Arial"/>
                <w:b/>
                <w:bCs/>
                <w:color w:val="333333"/>
                <w:sz w:val="20"/>
                <w:szCs w:val="20"/>
              </w:rPr>
              <w:t>IqbalAI Advantage</w:t>
            </w:r>
          </w:p>
        </w:tc>
        <w:tc>
          <w:tcPr>
            <w:tcW w:w="624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028414EB">
            <w:pPr>
              <w:spacing w:after="0"/>
            </w:pPr>
            <w:r>
              <w:rPr>
                <w:rFonts w:ascii="Arial" w:hAnsi="Arial" w:eastAsia="Arial" w:cs="Arial"/>
                <w:b w:val="0"/>
                <w:bCs w:val="0"/>
                <w:color w:val="333333"/>
                <w:sz w:val="20"/>
                <w:szCs w:val="20"/>
              </w:rPr>
              <w:t>Urdu-first, Pakistani curriculum alignment, RAG-based document analysis (teachers upload their own textbooks), lesson generation, combined with school management</w:t>
            </w:r>
          </w:p>
        </w:tc>
      </w:tr>
    </w:tbl>
    <w:p w14:paraId="73431C1A">
      <w:pPr>
        <w:spacing w:before="0" w:after="120"/>
      </w:pPr>
    </w:p>
    <w:p w14:paraId="7532A6D8">
      <w:pPr>
        <w:pStyle w:val="4"/>
        <w:spacing w:before="0" w:after="120"/>
      </w:pPr>
      <w:r>
        <w:rPr>
          <w:rFonts w:ascii="Arial" w:hAnsi="Arial" w:eastAsia="Arial" w:cs="Arial"/>
          <w:color w:val="333333"/>
          <w:sz w:val="22"/>
          <w:szCs w:val="22"/>
        </w:rPr>
        <w:t>Century Tech</w:t>
      </w:r>
    </w:p>
    <w:p w14:paraId="4BABA91A">
      <w:pPr>
        <w:spacing w:before="0" w:after="120"/>
      </w:pPr>
      <w:r>
        <w:rPr>
          <w:rFonts w:ascii="Arial" w:hAnsi="Arial" w:eastAsia="Arial" w:cs="Arial"/>
          <w:color w:val="333333"/>
          <w:sz w:val="22"/>
          <w:szCs w:val="22"/>
        </w:rPr>
        <w:t>UK-based AI learning platform creating personalized learning pathways. Uses cognitive science principles (spacing, retrieval, interleaving). Strong presence in UK secondary schools. Teachers report reduced grading time and improved differentiation for mixed-ability classes.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6240"/>
      </w:tblGrid>
      <w:tr w14:paraId="4EB3343F">
        <w:tc>
          <w:tcPr>
            <w:tcW w:w="3120" w:type="dxa"/>
            <w:tcBorders>
              <w:top w:val="single" w:color="CCCCCC" w:sz="0" w:space="0"/>
              <w:left w:val="single" w:color="CCCCCC" w:sz="0" w:space="0"/>
              <w:bottom w:val="single" w:color="CCCCCC" w:sz="0" w:space="0"/>
              <w:right w:val="single" w:color="CCCCCC" w:sz="0" w:space="0"/>
            </w:tcBorders>
            <w:shd w:val="clear" w:color="auto" w:fill="1B4F72"/>
            <w:tcMar>
              <w:top w:w="80" w:type="dxa"/>
              <w:left w:w="120" w:type="dxa"/>
              <w:bottom w:w="80" w:type="dxa"/>
              <w:right w:w="120" w:type="dxa"/>
            </w:tcMar>
            <w:vAlign w:val="center"/>
          </w:tcPr>
          <w:p w14:paraId="7F4CDB8B">
            <w:pPr>
              <w:spacing w:after="0"/>
            </w:pPr>
            <w:r>
              <w:rPr>
                <w:rFonts w:ascii="Arial" w:hAnsi="Arial" w:eastAsia="Arial" w:cs="Arial"/>
                <w:b/>
                <w:bCs/>
                <w:color w:val="FFFFFF"/>
                <w:sz w:val="20"/>
                <w:szCs w:val="20"/>
              </w:rPr>
              <w:t>Aspect</w:t>
            </w:r>
          </w:p>
        </w:tc>
        <w:tc>
          <w:tcPr>
            <w:tcW w:w="6240" w:type="dxa"/>
            <w:tcBorders>
              <w:top w:val="single" w:color="CCCCCC" w:sz="0" w:space="0"/>
              <w:left w:val="single" w:color="CCCCCC" w:sz="0" w:space="0"/>
              <w:bottom w:val="single" w:color="CCCCCC" w:sz="0" w:space="0"/>
              <w:right w:val="single" w:color="CCCCCC" w:sz="0" w:space="0"/>
            </w:tcBorders>
            <w:shd w:val="clear" w:color="auto" w:fill="1B4F72"/>
            <w:tcMar>
              <w:top w:w="80" w:type="dxa"/>
              <w:left w:w="120" w:type="dxa"/>
              <w:bottom w:w="80" w:type="dxa"/>
              <w:right w:w="120" w:type="dxa"/>
            </w:tcMar>
            <w:vAlign w:val="center"/>
          </w:tcPr>
          <w:p w14:paraId="581DF5CC">
            <w:pPr>
              <w:spacing w:after="0"/>
            </w:pPr>
            <w:r>
              <w:rPr>
                <w:rFonts w:ascii="Arial" w:hAnsi="Arial" w:eastAsia="Arial" w:cs="Arial"/>
                <w:b/>
                <w:bCs/>
                <w:color w:val="FFFFFF"/>
                <w:sz w:val="20"/>
                <w:szCs w:val="20"/>
              </w:rPr>
              <w:t>Details</w:t>
            </w:r>
          </w:p>
        </w:tc>
      </w:tr>
      <w:tr w14:paraId="1A865D86">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36CB07B">
            <w:pPr>
              <w:spacing w:after="0"/>
            </w:pPr>
            <w:r>
              <w:rPr>
                <w:rFonts w:ascii="Arial" w:hAnsi="Arial" w:eastAsia="Arial" w:cs="Arial"/>
                <w:b/>
                <w:bCs/>
                <w:color w:val="333333"/>
                <w:sz w:val="20"/>
                <w:szCs w:val="20"/>
              </w:rPr>
              <w:t>Target</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DD5969D">
            <w:pPr>
              <w:spacing w:after="0"/>
            </w:pPr>
            <w:r>
              <w:rPr>
                <w:rFonts w:ascii="Arial" w:hAnsi="Arial" w:eastAsia="Arial" w:cs="Arial"/>
                <w:b w:val="0"/>
                <w:bCs w:val="0"/>
                <w:color w:val="333333"/>
                <w:sz w:val="20"/>
                <w:szCs w:val="20"/>
              </w:rPr>
              <w:t>UK schools, primary through further education</w:t>
            </w:r>
          </w:p>
        </w:tc>
      </w:tr>
      <w:tr w14:paraId="2EF38FC6">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ECF13BB">
            <w:pPr>
              <w:spacing w:after="0"/>
            </w:pPr>
            <w:r>
              <w:rPr>
                <w:rFonts w:ascii="Arial" w:hAnsi="Arial" w:eastAsia="Arial" w:cs="Arial"/>
                <w:b/>
                <w:bCs/>
                <w:color w:val="333333"/>
                <w:sz w:val="20"/>
                <w:szCs w:val="20"/>
              </w:rPr>
              <w:t>Key Strength</w:t>
            </w:r>
          </w:p>
        </w:tc>
        <w:tc>
          <w:tcPr>
            <w:tcW w:w="624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7DEC56AF">
            <w:pPr>
              <w:spacing w:after="0"/>
            </w:pPr>
            <w:r>
              <w:rPr>
                <w:rFonts w:ascii="Arial" w:hAnsi="Arial" w:eastAsia="Arial" w:cs="Arial"/>
                <w:b w:val="0"/>
                <w:bCs w:val="0"/>
                <w:color w:val="333333"/>
                <w:sz w:val="20"/>
                <w:szCs w:val="20"/>
              </w:rPr>
              <w:t>Evidence-based pedagogy, real-time teacher dashboards, adaptive micro-lessons</w:t>
            </w:r>
          </w:p>
        </w:tc>
      </w:tr>
      <w:tr w14:paraId="03EC8831">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B720CCB">
            <w:pPr>
              <w:spacing w:after="0"/>
            </w:pPr>
            <w:r>
              <w:rPr>
                <w:rFonts w:ascii="Arial" w:hAnsi="Arial" w:eastAsia="Arial" w:cs="Arial"/>
                <w:b/>
                <w:bCs/>
                <w:color w:val="333333"/>
                <w:sz w:val="20"/>
                <w:szCs w:val="20"/>
              </w:rPr>
              <w:t>Pakistan Presence</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00A3F03">
            <w:pPr>
              <w:spacing w:after="0"/>
            </w:pPr>
            <w:r>
              <w:rPr>
                <w:rFonts w:ascii="Arial" w:hAnsi="Arial" w:eastAsia="Arial" w:cs="Arial"/>
                <w:b w:val="0"/>
                <w:bCs w:val="0"/>
                <w:color w:val="333333"/>
                <w:sz w:val="20"/>
                <w:szCs w:val="20"/>
              </w:rPr>
              <w:t>None. Pricing and curriculum not adapted for developing markets.</w:t>
            </w:r>
          </w:p>
        </w:tc>
      </w:tr>
      <w:tr w14:paraId="06A31E04">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D8CBA7D">
            <w:pPr>
              <w:spacing w:after="0"/>
            </w:pPr>
            <w:r>
              <w:rPr>
                <w:rFonts w:ascii="Arial" w:hAnsi="Arial" w:eastAsia="Arial" w:cs="Arial"/>
                <w:b/>
                <w:bCs/>
                <w:color w:val="333333"/>
                <w:sz w:val="20"/>
                <w:szCs w:val="20"/>
              </w:rPr>
              <w:t>IqbalAI Advantage</w:t>
            </w:r>
          </w:p>
        </w:tc>
        <w:tc>
          <w:tcPr>
            <w:tcW w:w="624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2ADE8E47">
            <w:pPr>
              <w:spacing w:after="0"/>
            </w:pPr>
            <w:r>
              <w:rPr>
                <w:rFonts w:ascii="Arial" w:hAnsi="Arial" w:eastAsia="Arial" w:cs="Arial"/>
                <w:b w:val="0"/>
                <w:bCs w:val="0"/>
                <w:color w:val="333333"/>
                <w:sz w:val="20"/>
                <w:szCs w:val="20"/>
              </w:rPr>
              <w:t>Built for low-infrastructure environments, Urdu language, local curriculum, teacher-led lesson creation from uploaded documents</w:t>
            </w:r>
          </w:p>
        </w:tc>
      </w:tr>
    </w:tbl>
    <w:p w14:paraId="2D28A406">
      <w:pPr>
        <w:spacing w:before="0" w:after="120"/>
      </w:pPr>
    </w:p>
    <w:p w14:paraId="320B5EC3">
      <w:pPr>
        <w:pStyle w:val="4"/>
        <w:spacing w:before="0" w:after="120"/>
      </w:pPr>
      <w:r>
        <w:rPr>
          <w:rFonts w:ascii="Arial" w:hAnsi="Arial" w:eastAsia="Arial" w:cs="Arial"/>
          <w:color w:val="333333"/>
          <w:sz w:val="22"/>
          <w:szCs w:val="22"/>
        </w:rPr>
        <w:t>Squirrel AI</w:t>
      </w:r>
    </w:p>
    <w:p w14:paraId="11DDD0E9">
      <w:pPr>
        <w:spacing w:before="0" w:after="120"/>
      </w:pPr>
      <w:r>
        <w:rPr>
          <w:rFonts w:ascii="Arial" w:hAnsi="Arial" w:eastAsia="Arial" w:cs="Arial"/>
          <w:color w:val="333333"/>
          <w:sz w:val="22"/>
          <w:szCs w:val="22"/>
        </w:rPr>
        <w:t>Chinese adaptive learning pioneer. Uses AI diagnostic assessments to pinpoint learning gaps within minutes. Deployed in rural Chinese provinces to expand access. Operates physical learning centers in addition to software.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6240"/>
      </w:tblGrid>
      <w:tr w14:paraId="0A0FFDF8">
        <w:tc>
          <w:tcPr>
            <w:tcW w:w="3120" w:type="dxa"/>
            <w:tcBorders>
              <w:top w:val="single" w:color="CCCCCC" w:sz="0" w:space="0"/>
              <w:left w:val="single" w:color="CCCCCC" w:sz="0" w:space="0"/>
              <w:bottom w:val="single" w:color="CCCCCC" w:sz="0" w:space="0"/>
              <w:right w:val="single" w:color="CCCCCC" w:sz="0" w:space="0"/>
            </w:tcBorders>
            <w:shd w:val="clear" w:color="auto" w:fill="1B4F72"/>
            <w:tcMar>
              <w:top w:w="80" w:type="dxa"/>
              <w:left w:w="120" w:type="dxa"/>
              <w:bottom w:w="80" w:type="dxa"/>
              <w:right w:w="120" w:type="dxa"/>
            </w:tcMar>
            <w:vAlign w:val="center"/>
          </w:tcPr>
          <w:p w14:paraId="1B9E1E5D">
            <w:pPr>
              <w:spacing w:after="0"/>
            </w:pPr>
            <w:r>
              <w:rPr>
                <w:rFonts w:ascii="Arial" w:hAnsi="Arial" w:eastAsia="Arial" w:cs="Arial"/>
                <w:b/>
                <w:bCs/>
                <w:color w:val="FFFFFF"/>
                <w:sz w:val="20"/>
                <w:szCs w:val="20"/>
              </w:rPr>
              <w:t>Aspect</w:t>
            </w:r>
          </w:p>
        </w:tc>
        <w:tc>
          <w:tcPr>
            <w:tcW w:w="6240" w:type="dxa"/>
            <w:tcBorders>
              <w:top w:val="single" w:color="CCCCCC" w:sz="0" w:space="0"/>
              <w:left w:val="single" w:color="CCCCCC" w:sz="0" w:space="0"/>
              <w:bottom w:val="single" w:color="CCCCCC" w:sz="0" w:space="0"/>
              <w:right w:val="single" w:color="CCCCCC" w:sz="0" w:space="0"/>
            </w:tcBorders>
            <w:shd w:val="clear" w:color="auto" w:fill="1B4F72"/>
            <w:tcMar>
              <w:top w:w="80" w:type="dxa"/>
              <w:left w:w="120" w:type="dxa"/>
              <w:bottom w:w="80" w:type="dxa"/>
              <w:right w:w="120" w:type="dxa"/>
            </w:tcMar>
            <w:vAlign w:val="center"/>
          </w:tcPr>
          <w:p w14:paraId="4D0CABB5">
            <w:pPr>
              <w:spacing w:after="0"/>
            </w:pPr>
            <w:r>
              <w:rPr>
                <w:rFonts w:ascii="Arial" w:hAnsi="Arial" w:eastAsia="Arial" w:cs="Arial"/>
                <w:b/>
                <w:bCs/>
                <w:color w:val="FFFFFF"/>
                <w:sz w:val="20"/>
                <w:szCs w:val="20"/>
              </w:rPr>
              <w:t>Details</w:t>
            </w:r>
          </w:p>
        </w:tc>
      </w:tr>
      <w:tr w14:paraId="11A9D38D">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8C36716">
            <w:pPr>
              <w:spacing w:after="0"/>
            </w:pPr>
            <w:r>
              <w:rPr>
                <w:rFonts w:ascii="Arial" w:hAnsi="Arial" w:eastAsia="Arial" w:cs="Arial"/>
                <w:b/>
                <w:bCs/>
                <w:color w:val="333333"/>
                <w:sz w:val="20"/>
                <w:szCs w:val="20"/>
              </w:rPr>
              <w:t>Target</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5911CE1">
            <w:pPr>
              <w:spacing w:after="0"/>
            </w:pPr>
            <w:r>
              <w:rPr>
                <w:rFonts w:ascii="Arial" w:hAnsi="Arial" w:eastAsia="Arial" w:cs="Arial"/>
                <w:b w:val="0"/>
                <w:bCs w:val="0"/>
                <w:color w:val="333333"/>
                <w:sz w:val="20"/>
                <w:szCs w:val="20"/>
              </w:rPr>
              <w:t>Chinese K-12 market; expanding globally</w:t>
            </w:r>
          </w:p>
        </w:tc>
      </w:tr>
      <w:tr w14:paraId="3F02929E">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67CCD5B">
            <w:pPr>
              <w:spacing w:after="0"/>
            </w:pPr>
            <w:r>
              <w:rPr>
                <w:rFonts w:ascii="Arial" w:hAnsi="Arial" w:eastAsia="Arial" w:cs="Arial"/>
                <w:b/>
                <w:bCs/>
                <w:color w:val="333333"/>
                <w:sz w:val="20"/>
                <w:szCs w:val="20"/>
              </w:rPr>
              <w:t>Key Strength</w:t>
            </w:r>
          </w:p>
        </w:tc>
        <w:tc>
          <w:tcPr>
            <w:tcW w:w="624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19A61D8A">
            <w:pPr>
              <w:spacing w:after="0"/>
            </w:pPr>
            <w:r>
              <w:rPr>
                <w:rFonts w:ascii="Arial" w:hAnsi="Arial" w:eastAsia="Arial" w:cs="Arial"/>
                <w:b w:val="0"/>
                <w:bCs w:val="0"/>
                <w:color w:val="333333"/>
                <w:sz w:val="20"/>
                <w:szCs w:val="20"/>
              </w:rPr>
              <w:t>Deep adaptive algorithms, proven rural deployment, diagnostic-first approach</w:t>
            </w:r>
          </w:p>
        </w:tc>
      </w:tr>
      <w:tr w14:paraId="41CF8C2B">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A14F6E8">
            <w:pPr>
              <w:spacing w:after="0"/>
            </w:pPr>
            <w:r>
              <w:rPr>
                <w:rFonts w:ascii="Arial" w:hAnsi="Arial" w:eastAsia="Arial" w:cs="Arial"/>
                <w:b/>
                <w:bCs/>
                <w:color w:val="333333"/>
                <w:sz w:val="20"/>
                <w:szCs w:val="20"/>
              </w:rPr>
              <w:t>Pakistan Presence</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1AA0C60">
            <w:pPr>
              <w:spacing w:after="0"/>
            </w:pPr>
            <w:r>
              <w:rPr>
                <w:rFonts w:ascii="Arial" w:hAnsi="Arial" w:eastAsia="Arial" w:cs="Arial"/>
                <w:b w:val="0"/>
                <w:bCs w:val="0"/>
                <w:color w:val="333333"/>
                <w:sz w:val="20"/>
                <w:szCs w:val="20"/>
              </w:rPr>
              <w:t>None. Chinese-language focused.</w:t>
            </w:r>
          </w:p>
        </w:tc>
      </w:tr>
      <w:tr w14:paraId="62D8F88E">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B5EAF1A">
            <w:pPr>
              <w:spacing w:after="0"/>
            </w:pPr>
            <w:r>
              <w:rPr>
                <w:rFonts w:ascii="Arial" w:hAnsi="Arial" w:eastAsia="Arial" w:cs="Arial"/>
                <w:b/>
                <w:bCs/>
                <w:color w:val="333333"/>
                <w:sz w:val="20"/>
                <w:szCs w:val="20"/>
              </w:rPr>
              <w:t>IqbalAI Advantage</w:t>
            </w:r>
          </w:p>
        </w:tc>
        <w:tc>
          <w:tcPr>
            <w:tcW w:w="624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46051840">
            <w:pPr>
              <w:spacing w:after="0"/>
            </w:pPr>
            <w:r>
              <w:rPr>
                <w:rFonts w:ascii="Arial" w:hAnsi="Arial" w:eastAsia="Arial" w:cs="Arial"/>
                <w:b w:val="0"/>
                <w:bCs w:val="0"/>
                <w:color w:val="333333"/>
                <w:sz w:val="20"/>
                <w:szCs w:val="20"/>
              </w:rPr>
              <w:t>Software-only (no physical centers needed), teacher empowerment model vs student-only, government procurement-ready</w:t>
            </w:r>
          </w:p>
        </w:tc>
      </w:tr>
    </w:tbl>
    <w:p w14:paraId="6FA250F0">
      <w:pPr>
        <w:spacing w:before="0" w:after="120"/>
      </w:pPr>
    </w:p>
    <w:p w14:paraId="482A17A4">
      <w:pPr>
        <w:pStyle w:val="4"/>
        <w:spacing w:before="0" w:after="120"/>
      </w:pPr>
      <w:r>
        <w:rPr>
          <w:rFonts w:ascii="Arial" w:hAnsi="Arial" w:eastAsia="Arial" w:cs="Arial"/>
          <w:color w:val="333333"/>
          <w:sz w:val="22"/>
          <w:szCs w:val="22"/>
        </w:rPr>
        <w:t>MagicSchool AI</w:t>
      </w:r>
    </w:p>
    <w:p w14:paraId="3D65662B">
      <w:pPr>
        <w:spacing w:before="0" w:after="120"/>
      </w:pPr>
      <w:r>
        <w:rPr>
          <w:rFonts w:ascii="Arial" w:hAnsi="Arial" w:eastAsia="Arial" w:cs="Arial"/>
          <w:color w:val="333333"/>
          <w:sz w:val="22"/>
          <w:szCs w:val="22"/>
        </w:rPr>
        <w:t>US-based platform offering 80+ AI tools specifically for teachers: lesson planners, rubric generators, IEP builders, quiz makers, text levelers. Teacher-first approach (not student tutoring). Fast-growing with school district adoption.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6240"/>
      </w:tblGrid>
      <w:tr w14:paraId="54324488">
        <w:tc>
          <w:tcPr>
            <w:tcW w:w="3120" w:type="dxa"/>
            <w:tcBorders>
              <w:top w:val="single" w:color="CCCCCC" w:sz="0" w:space="0"/>
              <w:left w:val="single" w:color="CCCCCC" w:sz="0" w:space="0"/>
              <w:bottom w:val="single" w:color="CCCCCC" w:sz="0" w:space="0"/>
              <w:right w:val="single" w:color="CCCCCC" w:sz="0" w:space="0"/>
            </w:tcBorders>
            <w:shd w:val="clear" w:color="auto" w:fill="1B4F72"/>
            <w:tcMar>
              <w:top w:w="80" w:type="dxa"/>
              <w:left w:w="120" w:type="dxa"/>
              <w:bottom w:w="80" w:type="dxa"/>
              <w:right w:w="120" w:type="dxa"/>
            </w:tcMar>
            <w:vAlign w:val="center"/>
          </w:tcPr>
          <w:p w14:paraId="0C2E8BB7">
            <w:pPr>
              <w:spacing w:after="0"/>
            </w:pPr>
            <w:r>
              <w:rPr>
                <w:rFonts w:ascii="Arial" w:hAnsi="Arial" w:eastAsia="Arial" w:cs="Arial"/>
                <w:b/>
                <w:bCs/>
                <w:color w:val="FFFFFF"/>
                <w:sz w:val="20"/>
                <w:szCs w:val="20"/>
              </w:rPr>
              <w:t>Aspect</w:t>
            </w:r>
          </w:p>
        </w:tc>
        <w:tc>
          <w:tcPr>
            <w:tcW w:w="6240" w:type="dxa"/>
            <w:tcBorders>
              <w:top w:val="single" w:color="CCCCCC" w:sz="0" w:space="0"/>
              <w:left w:val="single" w:color="CCCCCC" w:sz="0" w:space="0"/>
              <w:bottom w:val="single" w:color="CCCCCC" w:sz="0" w:space="0"/>
              <w:right w:val="single" w:color="CCCCCC" w:sz="0" w:space="0"/>
            </w:tcBorders>
            <w:shd w:val="clear" w:color="auto" w:fill="1B4F72"/>
            <w:tcMar>
              <w:top w:w="80" w:type="dxa"/>
              <w:left w:w="120" w:type="dxa"/>
              <w:bottom w:w="80" w:type="dxa"/>
              <w:right w:w="120" w:type="dxa"/>
            </w:tcMar>
            <w:vAlign w:val="center"/>
          </w:tcPr>
          <w:p w14:paraId="7E240D7B">
            <w:pPr>
              <w:spacing w:after="0"/>
            </w:pPr>
            <w:r>
              <w:rPr>
                <w:rFonts w:ascii="Arial" w:hAnsi="Arial" w:eastAsia="Arial" w:cs="Arial"/>
                <w:b/>
                <w:bCs/>
                <w:color w:val="FFFFFF"/>
                <w:sz w:val="20"/>
                <w:szCs w:val="20"/>
              </w:rPr>
              <w:t>Details</w:t>
            </w:r>
          </w:p>
        </w:tc>
      </w:tr>
      <w:tr w14:paraId="1F87A89A">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1FBCFCB">
            <w:pPr>
              <w:spacing w:after="0"/>
            </w:pPr>
            <w:r>
              <w:rPr>
                <w:rFonts w:ascii="Arial" w:hAnsi="Arial" w:eastAsia="Arial" w:cs="Arial"/>
                <w:b/>
                <w:bCs/>
                <w:color w:val="333333"/>
                <w:sz w:val="20"/>
                <w:szCs w:val="20"/>
              </w:rPr>
              <w:t>Target</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4F06524">
            <w:pPr>
              <w:spacing w:after="0"/>
            </w:pPr>
            <w:r>
              <w:rPr>
                <w:rFonts w:ascii="Arial" w:hAnsi="Arial" w:eastAsia="Arial" w:cs="Arial"/>
                <w:b w:val="0"/>
                <w:bCs w:val="0"/>
                <w:color w:val="333333"/>
                <w:sz w:val="20"/>
                <w:szCs w:val="20"/>
              </w:rPr>
              <w:t>US teachers and school districts</w:t>
            </w:r>
          </w:p>
        </w:tc>
      </w:tr>
      <w:tr w14:paraId="0E0181F0">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E51C89F">
            <w:pPr>
              <w:spacing w:after="0"/>
            </w:pPr>
            <w:r>
              <w:rPr>
                <w:rFonts w:ascii="Arial" w:hAnsi="Arial" w:eastAsia="Arial" w:cs="Arial"/>
                <w:b/>
                <w:bCs/>
                <w:color w:val="333333"/>
                <w:sz w:val="20"/>
                <w:szCs w:val="20"/>
              </w:rPr>
              <w:t>Key Strength</w:t>
            </w:r>
          </w:p>
        </w:tc>
        <w:tc>
          <w:tcPr>
            <w:tcW w:w="624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354E5EFE">
            <w:pPr>
              <w:spacing w:after="0"/>
            </w:pPr>
            <w:r>
              <w:rPr>
                <w:rFonts w:ascii="Arial" w:hAnsi="Arial" w:eastAsia="Arial" w:cs="Arial"/>
                <w:b w:val="0"/>
                <w:bCs w:val="0"/>
                <w:color w:val="333333"/>
                <w:sz w:val="20"/>
                <w:szCs w:val="20"/>
              </w:rPr>
              <w:t>Breadth of teacher tools (80+), ease of use, fast adoption</w:t>
            </w:r>
          </w:p>
        </w:tc>
      </w:tr>
      <w:tr w14:paraId="266F4A7A">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6E7E438">
            <w:pPr>
              <w:spacing w:after="0"/>
            </w:pPr>
            <w:r>
              <w:rPr>
                <w:rFonts w:ascii="Arial" w:hAnsi="Arial" w:eastAsia="Arial" w:cs="Arial"/>
                <w:b/>
                <w:bCs/>
                <w:color w:val="333333"/>
                <w:sz w:val="20"/>
                <w:szCs w:val="20"/>
              </w:rPr>
              <w:t>Pakistan Presence</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7B33435">
            <w:pPr>
              <w:spacing w:after="0"/>
            </w:pPr>
            <w:r>
              <w:rPr>
                <w:rFonts w:ascii="Arial" w:hAnsi="Arial" w:eastAsia="Arial" w:cs="Arial"/>
                <w:b w:val="0"/>
                <w:bCs w:val="0"/>
                <w:color w:val="333333"/>
                <w:sz w:val="20"/>
                <w:szCs w:val="20"/>
              </w:rPr>
              <w:t>None. English-only, US curriculum standards.</w:t>
            </w:r>
          </w:p>
        </w:tc>
      </w:tr>
      <w:tr w14:paraId="564008DC">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F120F8B">
            <w:pPr>
              <w:spacing w:after="0"/>
            </w:pPr>
            <w:r>
              <w:rPr>
                <w:rFonts w:ascii="Arial" w:hAnsi="Arial" w:eastAsia="Arial" w:cs="Arial"/>
                <w:b/>
                <w:bCs/>
                <w:color w:val="333333"/>
                <w:sz w:val="20"/>
                <w:szCs w:val="20"/>
              </w:rPr>
              <w:t>IqbalAI Advantage</w:t>
            </w:r>
          </w:p>
        </w:tc>
        <w:tc>
          <w:tcPr>
            <w:tcW w:w="624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1F34E05A">
            <w:pPr>
              <w:spacing w:after="0"/>
            </w:pPr>
            <w:r>
              <w:rPr>
                <w:rFonts w:ascii="Arial" w:hAnsi="Arial" w:eastAsia="Arial" w:cs="Arial"/>
                <w:b w:val="0"/>
                <w:bCs w:val="0"/>
                <w:color w:val="333333"/>
                <w:sz w:val="20"/>
                <w:szCs w:val="20"/>
              </w:rPr>
              <w:t>Both teacher AND student tools in one platform, RAG document analysis, school management integration, Urdu</w:t>
            </w:r>
          </w:p>
        </w:tc>
      </w:tr>
    </w:tbl>
    <w:p w14:paraId="7E898FF1">
      <w:r>
        <w:br w:type="page"/>
      </w:r>
    </w:p>
    <w:p w14:paraId="15192E5B">
      <w:pPr>
        <w:pStyle w:val="3"/>
        <w:spacing w:before="0" w:after="120"/>
      </w:pPr>
      <w:r>
        <w:rPr>
          <w:rFonts w:ascii="Arial" w:hAnsi="Arial" w:eastAsia="Arial" w:cs="Arial"/>
          <w:color w:val="333333"/>
          <w:sz w:val="22"/>
          <w:szCs w:val="22"/>
        </w:rPr>
        <w:t>Pakistan EdTech Landscape</w:t>
      </w:r>
    </w:p>
    <w:p w14:paraId="65B646E6">
      <w:pPr>
        <w:spacing w:before="0" w:after="120"/>
      </w:pPr>
      <w:r>
        <w:rPr>
          <w:rFonts w:ascii="Arial" w:hAnsi="Arial" w:eastAsia="Arial" w:cs="Arial"/>
          <w:color w:val="333333"/>
          <w:sz w:val="22"/>
          <w:szCs w:val="22"/>
        </w:rPr>
        <w:t>Pakistan has approximately 717 registered edtech startups, with 41 funded. However, the active player base with meaningful traction is much smaller. Key players:</w:t>
      </w:r>
    </w:p>
    <w:p w14:paraId="73AEFB12">
      <w:pPr>
        <w:pStyle w:val="4"/>
        <w:spacing w:before="0" w:after="120"/>
      </w:pPr>
      <w:r>
        <w:rPr>
          <w:rFonts w:ascii="Arial" w:hAnsi="Arial" w:eastAsia="Arial" w:cs="Arial"/>
          <w:color w:val="333333"/>
          <w:sz w:val="22"/>
          <w:szCs w:val="22"/>
        </w:rPr>
        <w:t>Maqsad</w:t>
      </w:r>
    </w:p>
    <w:p w14:paraId="43A212F5">
      <w:pPr>
        <w:spacing w:before="0" w:after="120"/>
      </w:pPr>
      <w:r>
        <w:rPr>
          <w:rFonts w:ascii="Arial" w:hAnsi="Arial" w:eastAsia="Arial" w:cs="Arial"/>
          <w:color w:val="333333"/>
          <w:sz w:val="22"/>
          <w:szCs w:val="22"/>
        </w:rPr>
        <w:t>Karachi-based, founded 2021. Study app with interactive video lectures, MCQ practice, and instant math solutions for grades 9-12. Covers Sindh, Punjab, and Federal textbook boards. Over 1 million downloads. Raised $4.9 million total (pre-seed + seed from Speedinvest, Indus Valley Capital). Monthly subscription around Rs 500-600.</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6240"/>
      </w:tblGrid>
      <w:tr w14:paraId="0C65E5F9">
        <w:tc>
          <w:tcPr>
            <w:tcW w:w="3120" w:type="dxa"/>
            <w:tcBorders>
              <w:top w:val="single" w:color="CCCCCC" w:sz="0" w:space="0"/>
              <w:left w:val="single" w:color="CCCCCC" w:sz="0" w:space="0"/>
              <w:bottom w:val="single" w:color="CCCCCC" w:sz="0" w:space="0"/>
              <w:right w:val="single" w:color="CCCCCC" w:sz="0" w:space="0"/>
            </w:tcBorders>
            <w:shd w:val="clear" w:color="auto" w:fill="1B4F72"/>
            <w:tcMar>
              <w:top w:w="80" w:type="dxa"/>
              <w:left w:w="120" w:type="dxa"/>
              <w:bottom w:w="80" w:type="dxa"/>
              <w:right w:w="120" w:type="dxa"/>
            </w:tcMar>
            <w:vAlign w:val="center"/>
          </w:tcPr>
          <w:p w14:paraId="64EA4885">
            <w:pPr>
              <w:spacing w:after="0"/>
            </w:pPr>
            <w:r>
              <w:rPr>
                <w:rFonts w:ascii="Arial" w:hAnsi="Arial" w:eastAsia="Arial" w:cs="Arial"/>
                <w:b/>
                <w:bCs/>
                <w:color w:val="FFFFFF"/>
                <w:sz w:val="20"/>
                <w:szCs w:val="20"/>
              </w:rPr>
              <w:t>Aspect</w:t>
            </w:r>
          </w:p>
        </w:tc>
        <w:tc>
          <w:tcPr>
            <w:tcW w:w="6240" w:type="dxa"/>
            <w:tcBorders>
              <w:top w:val="single" w:color="CCCCCC" w:sz="0" w:space="0"/>
              <w:left w:val="single" w:color="CCCCCC" w:sz="0" w:space="0"/>
              <w:bottom w:val="single" w:color="CCCCCC" w:sz="0" w:space="0"/>
              <w:right w:val="single" w:color="CCCCCC" w:sz="0" w:space="0"/>
            </w:tcBorders>
            <w:shd w:val="clear" w:color="auto" w:fill="1B4F72"/>
            <w:tcMar>
              <w:top w:w="80" w:type="dxa"/>
              <w:left w:w="120" w:type="dxa"/>
              <w:bottom w:w="80" w:type="dxa"/>
              <w:right w:w="120" w:type="dxa"/>
            </w:tcMar>
            <w:vAlign w:val="center"/>
          </w:tcPr>
          <w:p w14:paraId="34504E6D">
            <w:pPr>
              <w:spacing w:after="0"/>
            </w:pPr>
            <w:r>
              <w:rPr>
                <w:rFonts w:ascii="Arial" w:hAnsi="Arial" w:eastAsia="Arial" w:cs="Arial"/>
                <w:b/>
                <w:bCs/>
                <w:color w:val="FFFFFF"/>
                <w:sz w:val="20"/>
                <w:szCs w:val="20"/>
              </w:rPr>
              <w:t>Details</w:t>
            </w:r>
          </w:p>
        </w:tc>
      </w:tr>
      <w:tr w14:paraId="0D7B376B">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0B3DF5B">
            <w:pPr>
              <w:spacing w:after="0"/>
            </w:pPr>
            <w:r>
              <w:rPr>
                <w:rFonts w:ascii="Arial" w:hAnsi="Arial" w:eastAsia="Arial" w:cs="Arial"/>
                <w:b/>
                <w:bCs/>
                <w:color w:val="333333"/>
                <w:sz w:val="20"/>
                <w:szCs w:val="20"/>
              </w:rPr>
              <w:t>Model</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BE384E8">
            <w:pPr>
              <w:spacing w:after="0"/>
            </w:pPr>
            <w:r>
              <w:rPr>
                <w:rFonts w:ascii="Arial" w:hAnsi="Arial" w:eastAsia="Arial" w:cs="Arial"/>
                <w:b w:val="0"/>
                <w:bCs w:val="0"/>
                <w:color w:val="333333"/>
                <w:sz w:val="20"/>
                <w:szCs w:val="20"/>
              </w:rPr>
              <w:t>B2C student app (pre-recorded video lectures, practice tests)</w:t>
            </w:r>
          </w:p>
        </w:tc>
      </w:tr>
      <w:tr w14:paraId="381058C0">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CD996CC">
            <w:pPr>
              <w:spacing w:after="0"/>
            </w:pPr>
            <w:r>
              <w:rPr>
                <w:rFonts w:ascii="Arial" w:hAnsi="Arial" w:eastAsia="Arial" w:cs="Arial"/>
                <w:b/>
                <w:bCs/>
                <w:color w:val="333333"/>
                <w:sz w:val="20"/>
                <w:szCs w:val="20"/>
              </w:rPr>
              <w:t>No AI</w:t>
            </w:r>
          </w:p>
        </w:tc>
        <w:tc>
          <w:tcPr>
            <w:tcW w:w="624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132B1E6E">
            <w:pPr>
              <w:spacing w:after="0"/>
            </w:pPr>
            <w:r>
              <w:rPr>
                <w:rFonts w:ascii="Arial" w:hAnsi="Arial" w:eastAsia="Arial" w:cs="Arial"/>
                <w:b w:val="0"/>
                <w:bCs w:val="0"/>
                <w:color w:val="333333"/>
                <w:sz w:val="20"/>
                <w:szCs w:val="20"/>
              </w:rPr>
              <w:t>No generative AI tutoring, no lesson generation, no document analysis</w:t>
            </w:r>
          </w:p>
        </w:tc>
      </w:tr>
      <w:tr w14:paraId="69780966">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178FD70">
            <w:pPr>
              <w:spacing w:after="0"/>
            </w:pPr>
            <w:r>
              <w:rPr>
                <w:rFonts w:ascii="Arial" w:hAnsi="Arial" w:eastAsia="Arial" w:cs="Arial"/>
                <w:b/>
                <w:bCs/>
                <w:color w:val="333333"/>
                <w:sz w:val="20"/>
                <w:szCs w:val="20"/>
              </w:rPr>
              <w:t>No Teacher Tools</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1C97FF7">
            <w:pPr>
              <w:spacing w:after="0"/>
            </w:pPr>
            <w:r>
              <w:rPr>
                <w:rFonts w:ascii="Arial" w:hAnsi="Arial" w:eastAsia="Arial" w:cs="Arial"/>
                <w:b w:val="0"/>
                <w:bCs w:val="0"/>
                <w:color w:val="333333"/>
                <w:sz w:val="20"/>
                <w:szCs w:val="20"/>
              </w:rPr>
              <w:t>Student-only. Teachers are not users of the platform.</w:t>
            </w:r>
          </w:p>
        </w:tc>
      </w:tr>
      <w:tr w14:paraId="1A18E10A">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27DE038">
            <w:pPr>
              <w:spacing w:after="0"/>
            </w:pPr>
            <w:r>
              <w:rPr>
                <w:rFonts w:ascii="Arial" w:hAnsi="Arial" w:eastAsia="Arial" w:cs="Arial"/>
                <w:b/>
                <w:bCs/>
                <w:color w:val="333333"/>
                <w:sz w:val="20"/>
                <w:szCs w:val="20"/>
              </w:rPr>
              <w:t>No School Mgmt</w:t>
            </w:r>
          </w:p>
        </w:tc>
        <w:tc>
          <w:tcPr>
            <w:tcW w:w="624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25A77216">
            <w:pPr>
              <w:spacing w:after="0"/>
            </w:pPr>
            <w:r>
              <w:rPr>
                <w:rFonts w:ascii="Arial" w:hAnsi="Arial" w:eastAsia="Arial" w:cs="Arial"/>
                <w:b w:val="0"/>
                <w:bCs w:val="0"/>
                <w:color w:val="333333"/>
                <w:sz w:val="20"/>
                <w:szCs w:val="20"/>
              </w:rPr>
              <w:t>No attendance, grading, HR, or admin features</w:t>
            </w:r>
          </w:p>
        </w:tc>
      </w:tr>
      <w:tr w14:paraId="33AF98AC">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9F7330E">
            <w:pPr>
              <w:spacing w:after="0"/>
            </w:pPr>
            <w:r>
              <w:rPr>
                <w:rFonts w:ascii="Arial" w:hAnsi="Arial" w:eastAsia="Arial" w:cs="Arial"/>
                <w:b/>
                <w:bCs/>
                <w:color w:val="333333"/>
                <w:sz w:val="20"/>
                <w:szCs w:val="20"/>
              </w:rPr>
              <w:t>IqbalAI Advantage</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D6A4CBB">
            <w:pPr>
              <w:spacing w:after="0"/>
            </w:pPr>
            <w:r>
              <w:rPr>
                <w:rFonts w:ascii="Arial" w:hAnsi="Arial" w:eastAsia="Arial" w:cs="Arial"/>
                <w:b w:val="0"/>
                <w:bCs w:val="0"/>
                <w:color w:val="333333"/>
                <w:sz w:val="20"/>
                <w:szCs w:val="20"/>
              </w:rPr>
              <w:t>AI-powered (not just pre-recorded), teacher + student platform, document RAG, school management, B2G model</w:t>
            </w:r>
          </w:p>
        </w:tc>
      </w:tr>
    </w:tbl>
    <w:p w14:paraId="2FF78A45">
      <w:pPr>
        <w:spacing w:before="0" w:after="120"/>
      </w:pPr>
    </w:p>
    <w:p w14:paraId="0BF69D8E">
      <w:pPr>
        <w:pStyle w:val="4"/>
        <w:spacing w:before="0" w:after="120"/>
      </w:pPr>
      <w:r>
        <w:rPr>
          <w:rFonts w:ascii="Arial" w:hAnsi="Arial" w:eastAsia="Arial" w:cs="Arial"/>
          <w:color w:val="333333"/>
          <w:sz w:val="22"/>
          <w:szCs w:val="22"/>
        </w:rPr>
        <w:t>Taleemabad (by Orenda)</w:t>
      </w:r>
    </w:p>
    <w:p w14:paraId="35E9DE10">
      <w:pPr>
        <w:spacing w:before="0" w:after="120"/>
      </w:pPr>
      <w:r>
        <w:rPr>
          <w:rFonts w:ascii="Arial" w:hAnsi="Arial" w:eastAsia="Arial" w:cs="Arial"/>
          <w:color w:val="333333"/>
          <w:sz w:val="22"/>
          <w:szCs w:val="22"/>
        </w:rPr>
        <w:t>Founded 2015. Animated cartoon-based learning app aligned with the Pakistani national curriculum. Over 1 million downloads. Content in English and Urdu. Endorsed by Ministry of Federal Education. Partnered with UNESCO and Telenor Pakistan. Currently expanding from initial 6 partner schools to potentially 400+. Focus is primary education (K-5).</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6240"/>
      </w:tblGrid>
      <w:tr w14:paraId="10CE1475">
        <w:tc>
          <w:tcPr>
            <w:tcW w:w="3120" w:type="dxa"/>
            <w:tcBorders>
              <w:top w:val="single" w:color="CCCCCC" w:sz="0" w:space="0"/>
              <w:left w:val="single" w:color="CCCCCC" w:sz="0" w:space="0"/>
              <w:bottom w:val="single" w:color="CCCCCC" w:sz="0" w:space="0"/>
              <w:right w:val="single" w:color="CCCCCC" w:sz="0" w:space="0"/>
            </w:tcBorders>
            <w:shd w:val="clear" w:color="auto" w:fill="1B4F72"/>
            <w:tcMar>
              <w:top w:w="80" w:type="dxa"/>
              <w:left w:w="120" w:type="dxa"/>
              <w:bottom w:w="80" w:type="dxa"/>
              <w:right w:w="120" w:type="dxa"/>
            </w:tcMar>
            <w:vAlign w:val="center"/>
          </w:tcPr>
          <w:p w14:paraId="7A0C8A00">
            <w:pPr>
              <w:spacing w:after="0"/>
            </w:pPr>
            <w:r>
              <w:rPr>
                <w:rFonts w:ascii="Arial" w:hAnsi="Arial" w:eastAsia="Arial" w:cs="Arial"/>
                <w:b/>
                <w:bCs/>
                <w:color w:val="FFFFFF"/>
                <w:sz w:val="20"/>
                <w:szCs w:val="20"/>
              </w:rPr>
              <w:t>Aspect</w:t>
            </w:r>
          </w:p>
        </w:tc>
        <w:tc>
          <w:tcPr>
            <w:tcW w:w="6240" w:type="dxa"/>
            <w:tcBorders>
              <w:top w:val="single" w:color="CCCCCC" w:sz="0" w:space="0"/>
              <w:left w:val="single" w:color="CCCCCC" w:sz="0" w:space="0"/>
              <w:bottom w:val="single" w:color="CCCCCC" w:sz="0" w:space="0"/>
              <w:right w:val="single" w:color="CCCCCC" w:sz="0" w:space="0"/>
            </w:tcBorders>
            <w:shd w:val="clear" w:color="auto" w:fill="1B4F72"/>
            <w:tcMar>
              <w:top w:w="80" w:type="dxa"/>
              <w:left w:w="120" w:type="dxa"/>
              <w:bottom w:w="80" w:type="dxa"/>
              <w:right w:w="120" w:type="dxa"/>
            </w:tcMar>
            <w:vAlign w:val="center"/>
          </w:tcPr>
          <w:p w14:paraId="62AE5B69">
            <w:pPr>
              <w:spacing w:after="0"/>
            </w:pPr>
            <w:r>
              <w:rPr>
                <w:rFonts w:ascii="Arial" w:hAnsi="Arial" w:eastAsia="Arial" w:cs="Arial"/>
                <w:b/>
                <w:bCs/>
                <w:color w:val="FFFFFF"/>
                <w:sz w:val="20"/>
                <w:szCs w:val="20"/>
              </w:rPr>
              <w:t>Details</w:t>
            </w:r>
          </w:p>
        </w:tc>
      </w:tr>
      <w:tr w14:paraId="1FE82053">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C0EC704">
            <w:pPr>
              <w:spacing w:after="0"/>
            </w:pPr>
            <w:r>
              <w:rPr>
                <w:rFonts w:ascii="Arial" w:hAnsi="Arial" w:eastAsia="Arial" w:cs="Arial"/>
                <w:b/>
                <w:bCs/>
                <w:color w:val="333333"/>
                <w:sz w:val="20"/>
                <w:szCs w:val="20"/>
              </w:rPr>
              <w:t>Model</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DD815BC">
            <w:pPr>
              <w:spacing w:after="0"/>
            </w:pPr>
            <w:r>
              <w:rPr>
                <w:rFonts w:ascii="Arial" w:hAnsi="Arial" w:eastAsia="Arial" w:cs="Arial"/>
                <w:b w:val="0"/>
                <w:bCs w:val="0"/>
                <w:color w:val="333333"/>
                <w:sz w:val="20"/>
                <w:szCs w:val="20"/>
              </w:rPr>
              <w:t>B2C + B2G. Animated content app + LMS for schools + Teacher App</w:t>
            </w:r>
          </w:p>
        </w:tc>
      </w:tr>
      <w:tr w14:paraId="5B15F2DF">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E29407D">
            <w:pPr>
              <w:spacing w:after="0"/>
            </w:pPr>
            <w:r>
              <w:rPr>
                <w:rFonts w:ascii="Arial" w:hAnsi="Arial" w:eastAsia="Arial" w:cs="Arial"/>
                <w:b/>
                <w:bCs/>
                <w:color w:val="333333"/>
                <w:sz w:val="20"/>
                <w:szCs w:val="20"/>
              </w:rPr>
              <w:t>Government Ties</w:t>
            </w:r>
          </w:p>
        </w:tc>
        <w:tc>
          <w:tcPr>
            <w:tcW w:w="624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0F64BEB6">
            <w:pPr>
              <w:spacing w:after="0"/>
            </w:pPr>
            <w:r>
              <w:rPr>
                <w:rFonts w:ascii="Arial" w:hAnsi="Arial" w:eastAsia="Arial" w:cs="Arial"/>
                <w:b w:val="0"/>
                <w:bCs w:val="0"/>
                <w:color w:val="333333"/>
                <w:sz w:val="20"/>
                <w:szCs w:val="20"/>
              </w:rPr>
              <w:t>Strong: Ministry endorsement, TeleSchool collaboration, UNESCO partnership</w:t>
            </w:r>
          </w:p>
        </w:tc>
      </w:tr>
      <w:tr w14:paraId="541D975D">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BB570E3">
            <w:pPr>
              <w:spacing w:after="0"/>
            </w:pPr>
            <w:r>
              <w:rPr>
                <w:rFonts w:ascii="Arial" w:hAnsi="Arial" w:eastAsia="Arial" w:cs="Arial"/>
                <w:b/>
                <w:bCs/>
                <w:color w:val="333333"/>
                <w:sz w:val="20"/>
                <w:szCs w:val="20"/>
              </w:rPr>
              <w:t>AI Capability</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A44D8C0">
            <w:pPr>
              <w:spacing w:after="0"/>
            </w:pPr>
            <w:r>
              <w:rPr>
                <w:rFonts w:ascii="Arial" w:hAnsi="Arial" w:eastAsia="Arial" w:cs="Arial"/>
                <w:b w:val="0"/>
                <w:bCs w:val="0"/>
                <w:color w:val="333333"/>
                <w:sz w:val="20"/>
                <w:szCs w:val="20"/>
              </w:rPr>
              <w:t>None. Pre-made animated content, no AI generation or tutoring</w:t>
            </w:r>
          </w:p>
        </w:tc>
      </w:tr>
      <w:tr w14:paraId="6004D84A">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0412D29">
            <w:pPr>
              <w:spacing w:after="0"/>
            </w:pPr>
            <w:r>
              <w:rPr>
                <w:rFonts w:ascii="Arial" w:hAnsi="Arial" w:eastAsia="Arial" w:cs="Arial"/>
                <w:b/>
                <w:bCs/>
                <w:color w:val="333333"/>
                <w:sz w:val="20"/>
                <w:szCs w:val="20"/>
              </w:rPr>
              <w:t>Limitation</w:t>
            </w:r>
          </w:p>
        </w:tc>
        <w:tc>
          <w:tcPr>
            <w:tcW w:w="624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0F30686C">
            <w:pPr>
              <w:spacing w:after="0"/>
            </w:pPr>
            <w:r>
              <w:rPr>
                <w:rFonts w:ascii="Arial" w:hAnsi="Arial" w:eastAsia="Arial" w:cs="Arial"/>
                <w:b w:val="0"/>
                <w:bCs w:val="0"/>
                <w:color w:val="333333"/>
                <w:sz w:val="20"/>
                <w:szCs w:val="20"/>
              </w:rPr>
              <w:t>Primary only (K-5). No secondary/higher secondary coverage.</w:t>
            </w:r>
          </w:p>
        </w:tc>
      </w:tr>
      <w:tr w14:paraId="13F3A719">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5F8EF09">
            <w:pPr>
              <w:spacing w:after="0"/>
            </w:pPr>
            <w:r>
              <w:rPr>
                <w:rFonts w:ascii="Arial" w:hAnsi="Arial" w:eastAsia="Arial" w:cs="Arial"/>
                <w:b/>
                <w:bCs/>
                <w:color w:val="333333"/>
                <w:sz w:val="20"/>
                <w:szCs w:val="20"/>
              </w:rPr>
              <w:t>IqbalAI Advantage</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B21A64F">
            <w:pPr>
              <w:spacing w:after="0"/>
            </w:pPr>
            <w:r>
              <w:rPr>
                <w:rFonts w:ascii="Arial" w:hAnsi="Arial" w:eastAsia="Arial" w:cs="Arial"/>
                <w:b w:val="0"/>
                <w:bCs w:val="0"/>
                <w:color w:val="333333"/>
                <w:sz w:val="20"/>
                <w:szCs w:val="20"/>
              </w:rPr>
              <w:t>AI-powered, all grade levels, teacher lesson generation from any document, secondary/higher secondary focus</w:t>
            </w:r>
          </w:p>
        </w:tc>
      </w:tr>
    </w:tbl>
    <w:p w14:paraId="2948B154">
      <w:pPr>
        <w:spacing w:before="0" w:after="120"/>
      </w:pPr>
    </w:p>
    <w:p w14:paraId="4E19D176">
      <w:pPr>
        <w:pStyle w:val="4"/>
        <w:spacing w:before="0" w:after="120"/>
      </w:pPr>
      <w:r>
        <w:rPr>
          <w:rFonts w:ascii="Arial" w:hAnsi="Arial" w:eastAsia="Arial" w:cs="Arial"/>
          <w:color w:val="333333"/>
          <w:sz w:val="22"/>
          <w:szCs w:val="22"/>
        </w:rPr>
        <w:t>Knowledge Platform &amp; Sabaq</w:t>
      </w:r>
    </w:p>
    <w:p w14:paraId="6ECC59CC">
      <w:pPr>
        <w:spacing w:before="0" w:after="120"/>
      </w:pPr>
      <w:r>
        <w:rPr>
          <w:rFonts w:ascii="Arial" w:hAnsi="Arial" w:eastAsia="Arial" w:cs="Arial"/>
          <w:color w:val="333333"/>
          <w:sz w:val="22"/>
          <w:szCs w:val="22"/>
        </w:rPr>
        <w:t>Knowledge Platform is a B2B school digitization platform. Sabaq (Muse) targets grades K-5 with interactive content in Urdu, Sindhi, and English. Both contributed content to the government’s TeleSchool initiative during COVID. Sabaq claims to have impacted 252,000+ students.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6240"/>
      </w:tblGrid>
      <w:tr w14:paraId="54990770">
        <w:tc>
          <w:tcPr>
            <w:tcW w:w="3120" w:type="dxa"/>
            <w:tcBorders>
              <w:top w:val="single" w:color="CCCCCC" w:sz="0" w:space="0"/>
              <w:left w:val="single" w:color="CCCCCC" w:sz="0" w:space="0"/>
              <w:bottom w:val="single" w:color="CCCCCC" w:sz="0" w:space="0"/>
              <w:right w:val="single" w:color="CCCCCC" w:sz="0" w:space="0"/>
            </w:tcBorders>
            <w:shd w:val="clear" w:color="auto" w:fill="1B4F72"/>
            <w:tcMar>
              <w:top w:w="80" w:type="dxa"/>
              <w:left w:w="120" w:type="dxa"/>
              <w:bottom w:w="80" w:type="dxa"/>
              <w:right w:w="120" w:type="dxa"/>
            </w:tcMar>
            <w:vAlign w:val="center"/>
          </w:tcPr>
          <w:p w14:paraId="378305D2">
            <w:pPr>
              <w:spacing w:after="0"/>
            </w:pPr>
            <w:r>
              <w:rPr>
                <w:rFonts w:ascii="Arial" w:hAnsi="Arial" w:eastAsia="Arial" w:cs="Arial"/>
                <w:b/>
                <w:bCs/>
                <w:color w:val="FFFFFF"/>
                <w:sz w:val="20"/>
                <w:szCs w:val="20"/>
              </w:rPr>
              <w:t>Aspect</w:t>
            </w:r>
          </w:p>
        </w:tc>
        <w:tc>
          <w:tcPr>
            <w:tcW w:w="6240" w:type="dxa"/>
            <w:tcBorders>
              <w:top w:val="single" w:color="CCCCCC" w:sz="0" w:space="0"/>
              <w:left w:val="single" w:color="CCCCCC" w:sz="0" w:space="0"/>
              <w:bottom w:val="single" w:color="CCCCCC" w:sz="0" w:space="0"/>
              <w:right w:val="single" w:color="CCCCCC" w:sz="0" w:space="0"/>
            </w:tcBorders>
            <w:shd w:val="clear" w:color="auto" w:fill="1B4F72"/>
            <w:tcMar>
              <w:top w:w="80" w:type="dxa"/>
              <w:left w:w="120" w:type="dxa"/>
              <w:bottom w:w="80" w:type="dxa"/>
              <w:right w:w="120" w:type="dxa"/>
            </w:tcMar>
            <w:vAlign w:val="center"/>
          </w:tcPr>
          <w:p w14:paraId="0A720E85">
            <w:pPr>
              <w:spacing w:after="0"/>
            </w:pPr>
            <w:r>
              <w:rPr>
                <w:rFonts w:ascii="Arial" w:hAnsi="Arial" w:eastAsia="Arial" w:cs="Arial"/>
                <w:b/>
                <w:bCs/>
                <w:color w:val="FFFFFF"/>
                <w:sz w:val="20"/>
                <w:szCs w:val="20"/>
              </w:rPr>
              <w:t>Details</w:t>
            </w:r>
          </w:p>
        </w:tc>
      </w:tr>
      <w:tr w14:paraId="055DC715">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D917701">
            <w:pPr>
              <w:spacing w:after="0"/>
            </w:pPr>
            <w:r>
              <w:rPr>
                <w:rFonts w:ascii="Arial" w:hAnsi="Arial" w:eastAsia="Arial" w:cs="Arial"/>
                <w:b/>
                <w:bCs/>
                <w:color w:val="333333"/>
                <w:sz w:val="20"/>
                <w:szCs w:val="20"/>
              </w:rPr>
              <w:t>Model</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CB0083D">
            <w:pPr>
              <w:spacing w:after="0"/>
            </w:pPr>
            <w:r>
              <w:rPr>
                <w:rFonts w:ascii="Arial" w:hAnsi="Arial" w:eastAsia="Arial" w:cs="Arial"/>
                <w:b w:val="0"/>
                <w:bCs w:val="0"/>
                <w:color w:val="333333"/>
                <w:sz w:val="20"/>
                <w:szCs w:val="20"/>
              </w:rPr>
              <w:t>B2B (Knowledge Platform) / B2C content app (Sabaq Muse)</w:t>
            </w:r>
          </w:p>
        </w:tc>
      </w:tr>
      <w:tr w14:paraId="3899DCB2">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9481815">
            <w:pPr>
              <w:spacing w:after="0"/>
            </w:pPr>
            <w:r>
              <w:rPr>
                <w:rFonts w:ascii="Arial" w:hAnsi="Arial" w:eastAsia="Arial" w:cs="Arial"/>
                <w:b/>
                <w:bCs/>
                <w:color w:val="333333"/>
                <w:sz w:val="20"/>
                <w:szCs w:val="20"/>
              </w:rPr>
              <w:t>AI Capability</w:t>
            </w:r>
          </w:p>
        </w:tc>
        <w:tc>
          <w:tcPr>
            <w:tcW w:w="624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651A8004">
            <w:pPr>
              <w:spacing w:after="0"/>
            </w:pPr>
            <w:r>
              <w:rPr>
                <w:rFonts w:ascii="Arial" w:hAnsi="Arial" w:eastAsia="Arial" w:cs="Arial"/>
                <w:b w:val="0"/>
                <w:bCs w:val="0"/>
                <w:color w:val="333333"/>
                <w:sz w:val="20"/>
                <w:szCs w:val="20"/>
              </w:rPr>
              <w:t>None. Static content delivery and LMS.</w:t>
            </w:r>
          </w:p>
        </w:tc>
      </w:tr>
      <w:tr w14:paraId="527E6DC4">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2D08A1D">
            <w:pPr>
              <w:spacing w:after="0"/>
            </w:pPr>
            <w:r>
              <w:rPr>
                <w:rFonts w:ascii="Arial" w:hAnsi="Arial" w:eastAsia="Arial" w:cs="Arial"/>
                <w:b/>
                <w:bCs/>
                <w:color w:val="333333"/>
                <w:sz w:val="20"/>
                <w:szCs w:val="20"/>
              </w:rPr>
              <w:t>IqbalAI Advantage</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13C2E44">
            <w:pPr>
              <w:spacing w:after="0"/>
            </w:pPr>
            <w:r>
              <w:rPr>
                <w:rFonts w:ascii="Arial" w:hAnsi="Arial" w:eastAsia="Arial" w:cs="Arial"/>
                <w:b w:val="0"/>
                <w:bCs w:val="0"/>
                <w:color w:val="333333"/>
                <w:sz w:val="20"/>
                <w:szCs w:val="20"/>
              </w:rPr>
              <w:t>AI generation vs. static content, teacher empowerment, combined platform</w:t>
            </w:r>
          </w:p>
        </w:tc>
      </w:tr>
    </w:tbl>
    <w:p w14:paraId="7E4F0985">
      <w:pPr>
        <w:spacing w:before="0" w:after="120"/>
      </w:pPr>
    </w:p>
    <w:p w14:paraId="436D7986">
      <w:pPr>
        <w:pStyle w:val="4"/>
        <w:spacing w:before="0" w:after="120"/>
      </w:pPr>
      <w:r>
        <w:rPr>
          <w:rFonts w:ascii="Arial" w:hAnsi="Arial" w:eastAsia="Arial" w:cs="Arial"/>
          <w:color w:val="333333"/>
          <w:sz w:val="22"/>
          <w:szCs w:val="22"/>
        </w:rPr>
        <w:t>Noon Academy (Saudi-headquartered)</w:t>
      </w:r>
    </w:p>
    <w:p w14:paraId="2563E1B7">
      <w:pPr>
        <w:spacing w:before="0" w:after="120"/>
      </w:pPr>
      <w:r>
        <w:rPr>
          <w:rFonts w:ascii="Arial" w:hAnsi="Arial" w:eastAsia="Arial" w:cs="Arial"/>
          <w:color w:val="333333"/>
          <w:sz w:val="22"/>
          <w:szCs w:val="22"/>
        </w:rPr>
        <w:t>International edtech with 5 million+ installs in Pakistan. Focuses on live sessions by popular teachers and social learning features. Raised $21.6 million in funding. Not Pakistan-native.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6240"/>
      </w:tblGrid>
      <w:tr w14:paraId="7CD69636">
        <w:tc>
          <w:tcPr>
            <w:tcW w:w="3120" w:type="dxa"/>
            <w:tcBorders>
              <w:top w:val="single" w:color="CCCCCC" w:sz="0" w:space="0"/>
              <w:left w:val="single" w:color="CCCCCC" w:sz="0" w:space="0"/>
              <w:bottom w:val="single" w:color="CCCCCC" w:sz="0" w:space="0"/>
              <w:right w:val="single" w:color="CCCCCC" w:sz="0" w:space="0"/>
            </w:tcBorders>
            <w:shd w:val="clear" w:color="auto" w:fill="1B4F72"/>
            <w:tcMar>
              <w:top w:w="80" w:type="dxa"/>
              <w:left w:w="120" w:type="dxa"/>
              <w:bottom w:w="80" w:type="dxa"/>
              <w:right w:w="120" w:type="dxa"/>
            </w:tcMar>
            <w:vAlign w:val="center"/>
          </w:tcPr>
          <w:p w14:paraId="38F57E68">
            <w:pPr>
              <w:spacing w:after="0"/>
            </w:pPr>
            <w:r>
              <w:rPr>
                <w:rFonts w:ascii="Arial" w:hAnsi="Arial" w:eastAsia="Arial" w:cs="Arial"/>
                <w:b/>
                <w:bCs/>
                <w:color w:val="FFFFFF"/>
                <w:sz w:val="20"/>
                <w:szCs w:val="20"/>
              </w:rPr>
              <w:t>Aspect</w:t>
            </w:r>
          </w:p>
        </w:tc>
        <w:tc>
          <w:tcPr>
            <w:tcW w:w="6240" w:type="dxa"/>
            <w:tcBorders>
              <w:top w:val="single" w:color="CCCCCC" w:sz="0" w:space="0"/>
              <w:left w:val="single" w:color="CCCCCC" w:sz="0" w:space="0"/>
              <w:bottom w:val="single" w:color="CCCCCC" w:sz="0" w:space="0"/>
              <w:right w:val="single" w:color="CCCCCC" w:sz="0" w:space="0"/>
            </w:tcBorders>
            <w:shd w:val="clear" w:color="auto" w:fill="1B4F72"/>
            <w:tcMar>
              <w:top w:w="80" w:type="dxa"/>
              <w:left w:w="120" w:type="dxa"/>
              <w:bottom w:w="80" w:type="dxa"/>
              <w:right w:w="120" w:type="dxa"/>
            </w:tcMar>
            <w:vAlign w:val="center"/>
          </w:tcPr>
          <w:p w14:paraId="440F5638">
            <w:pPr>
              <w:spacing w:after="0"/>
            </w:pPr>
            <w:r>
              <w:rPr>
                <w:rFonts w:ascii="Arial" w:hAnsi="Arial" w:eastAsia="Arial" w:cs="Arial"/>
                <w:b/>
                <w:bCs/>
                <w:color w:val="FFFFFF"/>
                <w:sz w:val="20"/>
                <w:szCs w:val="20"/>
              </w:rPr>
              <w:t>Details</w:t>
            </w:r>
          </w:p>
        </w:tc>
      </w:tr>
      <w:tr w14:paraId="1CBF3A87">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FB48D94">
            <w:pPr>
              <w:spacing w:after="0"/>
            </w:pPr>
            <w:r>
              <w:rPr>
                <w:rFonts w:ascii="Arial" w:hAnsi="Arial" w:eastAsia="Arial" w:cs="Arial"/>
                <w:b/>
                <w:bCs/>
                <w:color w:val="333333"/>
                <w:sz w:val="20"/>
                <w:szCs w:val="20"/>
              </w:rPr>
              <w:t>Model</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AA6D865">
            <w:pPr>
              <w:spacing w:after="0"/>
            </w:pPr>
            <w:r>
              <w:rPr>
                <w:rFonts w:ascii="Arial" w:hAnsi="Arial" w:eastAsia="Arial" w:cs="Arial"/>
                <w:b w:val="0"/>
                <w:bCs w:val="0"/>
                <w:color w:val="333333"/>
                <w:sz w:val="20"/>
                <w:szCs w:val="20"/>
              </w:rPr>
              <w:t>B2C live tutoring with social learning features</w:t>
            </w:r>
          </w:p>
        </w:tc>
      </w:tr>
      <w:tr w14:paraId="78AD3811">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2552B41">
            <w:pPr>
              <w:spacing w:after="0"/>
            </w:pPr>
            <w:r>
              <w:rPr>
                <w:rFonts w:ascii="Arial" w:hAnsi="Arial" w:eastAsia="Arial" w:cs="Arial"/>
                <w:b/>
                <w:bCs/>
                <w:color w:val="333333"/>
                <w:sz w:val="20"/>
                <w:szCs w:val="20"/>
              </w:rPr>
              <w:t>AI Capability</w:t>
            </w:r>
          </w:p>
        </w:tc>
        <w:tc>
          <w:tcPr>
            <w:tcW w:w="624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75FC3F07">
            <w:pPr>
              <w:spacing w:after="0"/>
            </w:pPr>
            <w:r>
              <w:rPr>
                <w:rFonts w:ascii="Arial" w:hAnsi="Arial" w:eastAsia="Arial" w:cs="Arial"/>
                <w:b w:val="0"/>
                <w:bCs w:val="0"/>
                <w:color w:val="333333"/>
                <w:sz w:val="20"/>
                <w:szCs w:val="20"/>
              </w:rPr>
              <w:t>Minimal. Focus is human teachers, not AI.</w:t>
            </w:r>
          </w:p>
        </w:tc>
      </w:tr>
      <w:tr w14:paraId="0C181125">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C065DD4">
            <w:pPr>
              <w:spacing w:after="0"/>
            </w:pPr>
            <w:r>
              <w:rPr>
                <w:rFonts w:ascii="Arial" w:hAnsi="Arial" w:eastAsia="Arial" w:cs="Arial"/>
                <w:b/>
                <w:bCs/>
                <w:color w:val="333333"/>
                <w:sz w:val="20"/>
                <w:szCs w:val="20"/>
              </w:rPr>
              <w:t>IqbalAI Advantage</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D5BA537">
            <w:pPr>
              <w:spacing w:after="0"/>
            </w:pPr>
            <w:r>
              <w:rPr>
                <w:rFonts w:ascii="Arial" w:hAnsi="Arial" w:eastAsia="Arial" w:cs="Arial"/>
                <w:b w:val="0"/>
                <w:bCs w:val="0"/>
                <w:color w:val="333333"/>
                <w:sz w:val="20"/>
                <w:szCs w:val="20"/>
              </w:rPr>
              <w:t>AI-native, B2G model, school management, teacher tools, not dependent on celebrity faculty</w:t>
            </w:r>
          </w:p>
        </w:tc>
      </w:tr>
    </w:tbl>
    <w:p w14:paraId="4BE43D15">
      <w:pPr>
        <w:spacing w:before="0" w:after="120"/>
      </w:pPr>
    </w:p>
    <w:p w14:paraId="65A3D84E">
      <w:pPr>
        <w:pStyle w:val="4"/>
        <w:spacing w:before="0" w:after="120"/>
      </w:pPr>
      <w:r>
        <w:rPr>
          <w:rFonts w:ascii="Arial" w:hAnsi="Arial" w:eastAsia="Arial" w:cs="Arial"/>
          <w:color w:val="333333"/>
          <w:sz w:val="22"/>
          <w:szCs w:val="22"/>
        </w:rPr>
        <w:t>Teach AI Pakistan (Non-Profit)</w:t>
      </w:r>
    </w:p>
    <w:p w14:paraId="34224F1D">
      <w:pPr>
        <w:spacing w:before="0" w:after="120"/>
      </w:pPr>
      <w:r>
        <w:rPr>
          <w:rFonts w:ascii="Arial" w:hAnsi="Arial" w:eastAsia="Arial" w:cs="Arial"/>
          <w:color w:val="333333"/>
          <w:sz w:val="22"/>
          <w:szCs w:val="22"/>
        </w:rPr>
        <w:t>Not-for-profit organization training educators and school leaders on AI literacy and integration. Offers AI Ethics courses, AI adoption packages for institutions, and partners with school systems for professional development. Not a software platform — a training/consulting organization.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6240"/>
      </w:tblGrid>
      <w:tr w14:paraId="6A23A999">
        <w:tc>
          <w:tcPr>
            <w:tcW w:w="3120" w:type="dxa"/>
            <w:tcBorders>
              <w:top w:val="single" w:color="CCCCCC" w:sz="0" w:space="0"/>
              <w:left w:val="single" w:color="CCCCCC" w:sz="0" w:space="0"/>
              <w:bottom w:val="single" w:color="CCCCCC" w:sz="0" w:space="0"/>
              <w:right w:val="single" w:color="CCCCCC" w:sz="0" w:space="0"/>
            </w:tcBorders>
            <w:shd w:val="clear" w:color="auto" w:fill="1B4F72"/>
            <w:tcMar>
              <w:top w:w="80" w:type="dxa"/>
              <w:left w:w="120" w:type="dxa"/>
              <w:bottom w:w="80" w:type="dxa"/>
              <w:right w:w="120" w:type="dxa"/>
            </w:tcMar>
            <w:vAlign w:val="center"/>
          </w:tcPr>
          <w:p w14:paraId="48391916">
            <w:pPr>
              <w:spacing w:after="0"/>
            </w:pPr>
            <w:r>
              <w:rPr>
                <w:rFonts w:ascii="Arial" w:hAnsi="Arial" w:eastAsia="Arial" w:cs="Arial"/>
                <w:b/>
                <w:bCs/>
                <w:color w:val="FFFFFF"/>
                <w:sz w:val="20"/>
                <w:szCs w:val="20"/>
              </w:rPr>
              <w:t>Aspect</w:t>
            </w:r>
          </w:p>
        </w:tc>
        <w:tc>
          <w:tcPr>
            <w:tcW w:w="6240" w:type="dxa"/>
            <w:tcBorders>
              <w:top w:val="single" w:color="CCCCCC" w:sz="0" w:space="0"/>
              <w:left w:val="single" w:color="CCCCCC" w:sz="0" w:space="0"/>
              <w:bottom w:val="single" w:color="CCCCCC" w:sz="0" w:space="0"/>
              <w:right w:val="single" w:color="CCCCCC" w:sz="0" w:space="0"/>
            </w:tcBorders>
            <w:shd w:val="clear" w:color="auto" w:fill="1B4F72"/>
            <w:tcMar>
              <w:top w:w="80" w:type="dxa"/>
              <w:left w:w="120" w:type="dxa"/>
              <w:bottom w:w="80" w:type="dxa"/>
              <w:right w:w="120" w:type="dxa"/>
            </w:tcMar>
            <w:vAlign w:val="center"/>
          </w:tcPr>
          <w:p w14:paraId="740CDEB1">
            <w:pPr>
              <w:spacing w:after="0"/>
            </w:pPr>
            <w:r>
              <w:rPr>
                <w:rFonts w:ascii="Arial" w:hAnsi="Arial" w:eastAsia="Arial" w:cs="Arial"/>
                <w:b/>
                <w:bCs/>
                <w:color w:val="FFFFFF"/>
                <w:sz w:val="20"/>
                <w:szCs w:val="20"/>
              </w:rPr>
              <w:t>Details</w:t>
            </w:r>
          </w:p>
        </w:tc>
      </w:tr>
      <w:tr w14:paraId="53660C9A">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C045B03">
            <w:pPr>
              <w:spacing w:after="0"/>
            </w:pPr>
            <w:r>
              <w:rPr>
                <w:rFonts w:ascii="Arial" w:hAnsi="Arial" w:eastAsia="Arial" w:cs="Arial"/>
                <w:b/>
                <w:bCs/>
                <w:color w:val="333333"/>
                <w:sz w:val="20"/>
                <w:szCs w:val="20"/>
              </w:rPr>
              <w:t>Model</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76AC241">
            <w:pPr>
              <w:spacing w:after="0"/>
            </w:pPr>
            <w:r>
              <w:rPr>
                <w:rFonts w:ascii="Arial" w:hAnsi="Arial" w:eastAsia="Arial" w:cs="Arial"/>
                <w:b w:val="0"/>
                <w:bCs w:val="0"/>
                <w:color w:val="333333"/>
                <w:sz w:val="20"/>
                <w:szCs w:val="20"/>
              </w:rPr>
              <w:t>Training and consulting for AI adoption in schools</w:t>
            </w:r>
          </w:p>
        </w:tc>
      </w:tr>
      <w:tr w14:paraId="75A35E5E">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17E9CC1">
            <w:pPr>
              <w:spacing w:after="0"/>
            </w:pPr>
            <w:r>
              <w:rPr>
                <w:rFonts w:ascii="Arial" w:hAnsi="Arial" w:eastAsia="Arial" w:cs="Arial"/>
                <w:b/>
                <w:bCs/>
                <w:color w:val="333333"/>
                <w:sz w:val="20"/>
                <w:szCs w:val="20"/>
              </w:rPr>
              <w:t>Not a Competitor</w:t>
            </w:r>
          </w:p>
        </w:tc>
        <w:tc>
          <w:tcPr>
            <w:tcW w:w="624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6256E512">
            <w:pPr>
              <w:spacing w:after="0"/>
            </w:pPr>
            <w:r>
              <w:rPr>
                <w:rFonts w:ascii="Arial" w:hAnsi="Arial" w:eastAsia="Arial" w:cs="Arial"/>
                <w:b w:val="0"/>
                <w:bCs w:val="0"/>
                <w:color w:val="333333"/>
                <w:sz w:val="20"/>
                <w:szCs w:val="20"/>
              </w:rPr>
              <w:t>Potential partner. They train teachers to use AI tools — IqbalAI could be the tool they recommend.</w:t>
            </w:r>
          </w:p>
        </w:tc>
      </w:tr>
    </w:tbl>
    <w:p w14:paraId="02C1C7E4">
      <w:pPr>
        <w:pStyle w:val="4"/>
        <w:spacing w:before="0" w:after="120"/>
      </w:pPr>
      <w:r>
        <w:rPr>
          <w:rFonts w:ascii="Arial" w:hAnsi="Arial" w:eastAsia="Arial" w:cs="Arial"/>
          <w:color w:val="333333"/>
          <w:sz w:val="22"/>
          <w:szCs w:val="22"/>
        </w:rPr>
        <w:t>Out-Class (O-Level/A-Level Specialist)</w:t>
      </w:r>
    </w:p>
    <w:p w14:paraId="21DA5E71">
      <w:pPr>
        <w:spacing w:before="0" w:after="120"/>
      </w:pPr>
      <w:r>
        <w:rPr>
          <w:rFonts w:ascii="Arial" w:hAnsi="Arial" w:eastAsia="Arial" w:cs="Arial"/>
          <w:color w:val="333333"/>
          <w:sz w:val="22"/>
          <w:szCs w:val="22"/>
        </w:rPr>
        <w:t>Pakistan-based online tutoring platform specifically targeting O-Level and A-Level students. Offers video lessons, past paper practice, and exam-focused content aligned with Cambridge CAIE. Relevant because the CXO vision includes O-Level and A-Level coverage.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6240"/>
      </w:tblGrid>
      <w:tr w14:paraId="66037557">
        <w:tc>
          <w:tcPr>
            <w:tcW w:w="3120" w:type="dxa"/>
            <w:tcBorders>
              <w:top w:val="single" w:color="CCCCCC" w:sz="0" w:space="0"/>
              <w:left w:val="single" w:color="CCCCCC" w:sz="0" w:space="0"/>
              <w:bottom w:val="single" w:color="CCCCCC" w:sz="0" w:space="0"/>
              <w:right w:val="single" w:color="CCCCCC" w:sz="0" w:space="0"/>
            </w:tcBorders>
            <w:shd w:val="clear" w:color="auto" w:fill="1B4F72"/>
            <w:tcMar>
              <w:top w:w="80" w:type="dxa"/>
              <w:left w:w="120" w:type="dxa"/>
              <w:bottom w:w="80" w:type="dxa"/>
              <w:right w:w="120" w:type="dxa"/>
            </w:tcMar>
            <w:vAlign w:val="center"/>
          </w:tcPr>
          <w:p w14:paraId="463EFAD1">
            <w:pPr>
              <w:spacing w:after="0"/>
            </w:pPr>
            <w:r>
              <w:rPr>
                <w:rFonts w:ascii="Arial" w:hAnsi="Arial" w:eastAsia="Arial" w:cs="Arial"/>
                <w:b/>
                <w:bCs/>
                <w:color w:val="FFFFFF"/>
                <w:sz w:val="20"/>
                <w:szCs w:val="20"/>
              </w:rPr>
              <w:t>Aspect</w:t>
            </w:r>
          </w:p>
        </w:tc>
        <w:tc>
          <w:tcPr>
            <w:tcW w:w="6240" w:type="dxa"/>
            <w:tcBorders>
              <w:top w:val="single" w:color="CCCCCC" w:sz="0" w:space="0"/>
              <w:left w:val="single" w:color="CCCCCC" w:sz="0" w:space="0"/>
              <w:bottom w:val="single" w:color="CCCCCC" w:sz="0" w:space="0"/>
              <w:right w:val="single" w:color="CCCCCC" w:sz="0" w:space="0"/>
            </w:tcBorders>
            <w:shd w:val="clear" w:color="auto" w:fill="1B4F72"/>
            <w:tcMar>
              <w:top w:w="80" w:type="dxa"/>
              <w:left w:w="120" w:type="dxa"/>
              <w:bottom w:w="80" w:type="dxa"/>
              <w:right w:w="120" w:type="dxa"/>
            </w:tcMar>
            <w:vAlign w:val="center"/>
          </w:tcPr>
          <w:p w14:paraId="12F42380">
            <w:pPr>
              <w:spacing w:after="0"/>
            </w:pPr>
            <w:r>
              <w:rPr>
                <w:rFonts w:ascii="Arial" w:hAnsi="Arial" w:eastAsia="Arial" w:cs="Arial"/>
                <w:b/>
                <w:bCs/>
                <w:color w:val="FFFFFF"/>
                <w:sz w:val="20"/>
                <w:szCs w:val="20"/>
              </w:rPr>
              <w:t>Details</w:t>
            </w:r>
          </w:p>
        </w:tc>
      </w:tr>
      <w:tr w14:paraId="321140F6">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87796B9">
            <w:pPr>
              <w:spacing w:after="0"/>
            </w:pPr>
            <w:r>
              <w:rPr>
                <w:rFonts w:ascii="Arial" w:hAnsi="Arial" w:eastAsia="Arial" w:cs="Arial"/>
                <w:b/>
                <w:bCs/>
                <w:color w:val="333333"/>
                <w:sz w:val="20"/>
                <w:szCs w:val="20"/>
              </w:rPr>
              <w:t>Model</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925FC69">
            <w:pPr>
              <w:spacing w:after="0"/>
            </w:pPr>
            <w:r>
              <w:rPr>
                <w:rFonts w:ascii="Arial" w:hAnsi="Arial" w:eastAsia="Arial" w:cs="Arial"/>
                <w:b w:val="0"/>
                <w:bCs w:val="0"/>
                <w:color w:val="333333"/>
                <w:sz w:val="20"/>
                <w:szCs w:val="20"/>
              </w:rPr>
              <w:t>B2C: Online tutoring for O-Level and A-Level students. Video lectures + past papers.</w:t>
            </w:r>
          </w:p>
        </w:tc>
      </w:tr>
      <w:tr w14:paraId="24D0266E">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F3C9DFF">
            <w:pPr>
              <w:spacing w:after="0"/>
            </w:pPr>
            <w:r>
              <w:rPr>
                <w:rFonts w:ascii="Arial" w:hAnsi="Arial" w:eastAsia="Arial" w:cs="Arial"/>
                <w:b/>
                <w:bCs/>
                <w:color w:val="333333"/>
                <w:sz w:val="20"/>
                <w:szCs w:val="20"/>
              </w:rPr>
              <w:t>AI Capability</w:t>
            </w:r>
          </w:p>
        </w:tc>
        <w:tc>
          <w:tcPr>
            <w:tcW w:w="624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356FEBF6">
            <w:pPr>
              <w:spacing w:after="0"/>
            </w:pPr>
            <w:r>
              <w:rPr>
                <w:rFonts w:ascii="Arial" w:hAnsi="Arial" w:eastAsia="Arial" w:cs="Arial"/>
                <w:b w:val="0"/>
                <w:bCs w:val="0"/>
                <w:color w:val="333333"/>
                <w:sz w:val="20"/>
                <w:szCs w:val="20"/>
              </w:rPr>
              <w:t>None. Pre-recorded video content, not AI-generated.</w:t>
            </w:r>
          </w:p>
        </w:tc>
      </w:tr>
      <w:tr w14:paraId="736F9353">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12A71AD">
            <w:pPr>
              <w:spacing w:after="0"/>
            </w:pPr>
            <w:r>
              <w:rPr>
                <w:rFonts w:ascii="Arial" w:hAnsi="Arial" w:eastAsia="Arial" w:cs="Arial"/>
                <w:b/>
                <w:bCs/>
                <w:color w:val="333333"/>
                <w:sz w:val="20"/>
                <w:szCs w:val="20"/>
              </w:rPr>
              <w:t>Strength</w:t>
            </w:r>
          </w:p>
        </w:tc>
        <w:tc>
          <w:tcPr>
            <w:tcW w:w="62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A6B8DE1">
            <w:pPr>
              <w:spacing w:after="0"/>
            </w:pPr>
            <w:r>
              <w:rPr>
                <w:rFonts w:ascii="Arial" w:hAnsi="Arial" w:eastAsia="Arial" w:cs="Arial"/>
                <w:b w:val="0"/>
                <w:bCs w:val="0"/>
                <w:color w:val="333333"/>
                <w:sz w:val="20"/>
                <w:szCs w:val="20"/>
              </w:rPr>
              <w:t>Strong Cambridge CAIE alignment. Specifically built for the Pakistani O-Level/A-Level market.</w:t>
            </w:r>
          </w:p>
        </w:tc>
      </w:tr>
      <w:tr w14:paraId="67B7BF53">
        <w:tc>
          <w:tcPr>
            <w:tcW w:w="31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D69E2EE">
            <w:pPr>
              <w:spacing w:after="0"/>
            </w:pPr>
            <w:r>
              <w:rPr>
                <w:rFonts w:ascii="Arial" w:hAnsi="Arial" w:eastAsia="Arial" w:cs="Arial"/>
                <w:b/>
                <w:bCs/>
                <w:color w:val="333333"/>
                <w:sz w:val="20"/>
                <w:szCs w:val="20"/>
              </w:rPr>
              <w:t>IqbalAI Advantage</w:t>
            </w:r>
          </w:p>
        </w:tc>
        <w:tc>
          <w:tcPr>
            <w:tcW w:w="624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0976C349">
            <w:pPr>
              <w:spacing w:after="0"/>
            </w:pPr>
            <w:r>
              <w:rPr>
                <w:rFonts w:ascii="Arial" w:hAnsi="Arial" w:eastAsia="Arial" w:cs="Arial"/>
                <w:b w:val="0"/>
                <w:bCs w:val="0"/>
                <w:color w:val="333333"/>
                <w:sz w:val="20"/>
                <w:szCs w:val="20"/>
              </w:rPr>
              <w:t>AI-powered (not just video), personalized study plans, teacher tools + student tools, progress tracking with exam confidence scoring, B2G + B2B model.</w:t>
            </w:r>
          </w:p>
        </w:tc>
      </w:tr>
    </w:tbl>
    <w:p w14:paraId="37AEBD83">
      <w:r>
        <w:br w:type="page"/>
      </w:r>
    </w:p>
    <w:p w14:paraId="5D141396">
      <w:pPr>
        <w:pStyle w:val="3"/>
        <w:spacing w:before="0" w:after="120"/>
      </w:pPr>
      <w:r>
        <w:rPr>
          <w:rFonts w:ascii="Arial" w:hAnsi="Arial" w:eastAsia="Arial" w:cs="Arial"/>
          <w:color w:val="333333"/>
          <w:sz w:val="22"/>
          <w:szCs w:val="22"/>
        </w:rPr>
        <w:t>School Management System (SMS) Vendors in Pakistan</w:t>
      </w:r>
    </w:p>
    <w:p w14:paraId="5C38040D">
      <w:pPr>
        <w:spacing w:before="0" w:after="120"/>
      </w:pPr>
      <w:r>
        <w:rPr>
          <w:rFonts w:ascii="Arial" w:hAnsi="Arial" w:eastAsia="Arial" w:cs="Arial"/>
          <w:color w:val="333333"/>
          <w:sz w:val="22"/>
          <w:szCs w:val="22"/>
        </w:rPr>
        <w:t>Since IqbalAI’s vision includes a “one-stop shop” covering attendance, grading, HR, and admin, these are relevant competitors for the management side of the platform:</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74"/>
        <w:gridCol w:w="2409"/>
        <w:gridCol w:w="2397"/>
        <w:gridCol w:w="2380"/>
      </w:tblGrid>
      <w:tr w14:paraId="25242459">
        <w:tc>
          <w:tcPr>
            <w:tcW w:w="1800" w:type="dxa"/>
            <w:tcBorders>
              <w:top w:val="single" w:color="CCCCCC" w:sz="0" w:space="0"/>
              <w:left w:val="single" w:color="CCCCCC" w:sz="0" w:space="0"/>
              <w:bottom w:val="single" w:color="CCCCCC" w:sz="0" w:space="0"/>
              <w:right w:val="single" w:color="CCCCCC" w:sz="0" w:space="0"/>
            </w:tcBorders>
            <w:shd w:val="clear" w:color="auto" w:fill="1B4F72"/>
            <w:tcMar>
              <w:top w:w="80" w:type="dxa"/>
              <w:left w:w="120" w:type="dxa"/>
              <w:bottom w:w="80" w:type="dxa"/>
              <w:right w:w="120" w:type="dxa"/>
            </w:tcMar>
            <w:vAlign w:val="center"/>
          </w:tcPr>
          <w:p w14:paraId="59D4BF68">
            <w:pPr>
              <w:spacing w:after="0"/>
            </w:pPr>
            <w:r>
              <w:rPr>
                <w:rFonts w:ascii="Arial" w:hAnsi="Arial" w:eastAsia="Arial" w:cs="Arial"/>
                <w:b/>
                <w:bCs/>
                <w:color w:val="FFFFFF"/>
                <w:sz w:val="20"/>
                <w:szCs w:val="20"/>
              </w:rPr>
              <w:t>Vendor</w:t>
            </w:r>
          </w:p>
        </w:tc>
        <w:tc>
          <w:tcPr>
            <w:tcW w:w="2520" w:type="dxa"/>
            <w:tcBorders>
              <w:top w:val="single" w:color="CCCCCC" w:sz="0" w:space="0"/>
              <w:left w:val="single" w:color="CCCCCC" w:sz="0" w:space="0"/>
              <w:bottom w:val="single" w:color="CCCCCC" w:sz="0" w:space="0"/>
              <w:right w:val="single" w:color="CCCCCC" w:sz="0" w:space="0"/>
            </w:tcBorders>
            <w:shd w:val="clear" w:color="auto" w:fill="1B4F72"/>
            <w:tcMar>
              <w:top w:w="80" w:type="dxa"/>
              <w:left w:w="120" w:type="dxa"/>
              <w:bottom w:w="80" w:type="dxa"/>
              <w:right w:w="120" w:type="dxa"/>
            </w:tcMar>
            <w:vAlign w:val="center"/>
          </w:tcPr>
          <w:p w14:paraId="1C45D5F2">
            <w:pPr>
              <w:spacing w:after="0"/>
            </w:pPr>
            <w:r>
              <w:rPr>
                <w:rFonts w:ascii="Arial" w:hAnsi="Arial" w:eastAsia="Arial" w:cs="Arial"/>
                <w:b/>
                <w:bCs/>
                <w:color w:val="FFFFFF"/>
                <w:sz w:val="20"/>
                <w:szCs w:val="20"/>
              </w:rPr>
              <w:t>What They Do</w:t>
            </w:r>
          </w:p>
        </w:tc>
        <w:tc>
          <w:tcPr>
            <w:tcW w:w="2520" w:type="dxa"/>
            <w:tcBorders>
              <w:top w:val="single" w:color="CCCCCC" w:sz="0" w:space="0"/>
              <w:left w:val="single" w:color="CCCCCC" w:sz="0" w:space="0"/>
              <w:bottom w:val="single" w:color="CCCCCC" w:sz="0" w:space="0"/>
              <w:right w:val="single" w:color="CCCCCC" w:sz="0" w:space="0"/>
            </w:tcBorders>
            <w:shd w:val="clear" w:color="auto" w:fill="1B4F72"/>
            <w:tcMar>
              <w:top w:w="80" w:type="dxa"/>
              <w:left w:w="120" w:type="dxa"/>
              <w:bottom w:w="80" w:type="dxa"/>
              <w:right w:w="120" w:type="dxa"/>
            </w:tcMar>
            <w:vAlign w:val="center"/>
          </w:tcPr>
          <w:p w14:paraId="34517DF0">
            <w:pPr>
              <w:spacing w:after="0"/>
            </w:pPr>
            <w:r>
              <w:rPr>
                <w:rFonts w:ascii="Arial" w:hAnsi="Arial" w:eastAsia="Arial" w:cs="Arial"/>
                <w:b/>
                <w:bCs/>
                <w:color w:val="FFFFFF"/>
                <w:sz w:val="20"/>
                <w:szCs w:val="20"/>
              </w:rPr>
              <w:t>Pricing</w:t>
            </w:r>
          </w:p>
        </w:tc>
        <w:tc>
          <w:tcPr>
            <w:tcW w:w="2520" w:type="dxa"/>
            <w:tcBorders>
              <w:top w:val="single" w:color="CCCCCC" w:sz="0" w:space="0"/>
              <w:left w:val="single" w:color="CCCCCC" w:sz="0" w:space="0"/>
              <w:bottom w:val="single" w:color="CCCCCC" w:sz="0" w:space="0"/>
              <w:right w:val="single" w:color="CCCCCC" w:sz="0" w:space="0"/>
            </w:tcBorders>
            <w:shd w:val="clear" w:color="auto" w:fill="1B4F72"/>
            <w:tcMar>
              <w:top w:w="80" w:type="dxa"/>
              <w:left w:w="120" w:type="dxa"/>
              <w:bottom w:w="80" w:type="dxa"/>
              <w:right w:w="120" w:type="dxa"/>
            </w:tcMar>
            <w:vAlign w:val="center"/>
          </w:tcPr>
          <w:p w14:paraId="235F87FE">
            <w:pPr>
              <w:spacing w:after="0"/>
            </w:pPr>
            <w:r>
              <w:rPr>
                <w:rFonts w:ascii="Arial" w:hAnsi="Arial" w:eastAsia="Arial" w:cs="Arial"/>
                <w:b/>
                <w:bCs/>
                <w:color w:val="FFFFFF"/>
                <w:sz w:val="20"/>
                <w:szCs w:val="20"/>
              </w:rPr>
              <w:t>AI Capability</w:t>
            </w:r>
          </w:p>
        </w:tc>
      </w:tr>
      <w:tr w14:paraId="43080F32">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82D50E2">
            <w:pPr>
              <w:spacing w:after="0"/>
            </w:pPr>
            <w:r>
              <w:rPr>
                <w:rFonts w:ascii="Arial" w:hAnsi="Arial" w:eastAsia="Arial" w:cs="Arial"/>
                <w:b/>
                <w:bCs/>
                <w:color w:val="333333"/>
                <w:sz w:val="20"/>
                <w:szCs w:val="20"/>
              </w:rPr>
              <w:t>Ilmversity</w:t>
            </w:r>
          </w:p>
        </w:tc>
        <w:tc>
          <w:tcPr>
            <w:tcW w:w="25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A987D22">
            <w:pPr>
              <w:spacing w:after="0"/>
            </w:pPr>
            <w:r>
              <w:rPr>
                <w:rFonts w:ascii="Arial" w:hAnsi="Arial" w:eastAsia="Arial" w:cs="Arial"/>
                <w:b w:val="0"/>
                <w:bCs w:val="0"/>
                <w:color w:val="333333"/>
                <w:sz w:val="20"/>
                <w:szCs w:val="20"/>
              </w:rPr>
              <w:t>Full LMS + SIS + ERP. Attendance, fees, academics, parent portal.</w:t>
            </w:r>
          </w:p>
        </w:tc>
        <w:tc>
          <w:tcPr>
            <w:tcW w:w="252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2E195BBC">
            <w:pPr>
              <w:spacing w:after="0"/>
            </w:pPr>
            <w:r>
              <w:rPr>
                <w:rFonts w:ascii="Arial" w:hAnsi="Arial" w:eastAsia="Arial" w:cs="Arial"/>
                <w:b w:val="0"/>
                <w:bCs w:val="0"/>
                <w:color w:val="333333"/>
                <w:sz w:val="20"/>
                <w:szCs w:val="20"/>
              </w:rPr>
              <w:t>Custom quotes</w:t>
            </w:r>
          </w:p>
        </w:tc>
        <w:tc>
          <w:tcPr>
            <w:tcW w:w="25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CCFDD89">
            <w:pPr>
              <w:spacing w:after="0"/>
            </w:pPr>
            <w:r>
              <w:rPr>
                <w:rFonts w:ascii="Arial" w:hAnsi="Arial" w:eastAsia="Arial" w:cs="Arial"/>
                <w:b w:val="0"/>
                <w:bCs w:val="0"/>
                <w:color w:val="333333"/>
                <w:sz w:val="20"/>
                <w:szCs w:val="20"/>
              </w:rPr>
              <w:t>None</w:t>
            </w:r>
          </w:p>
        </w:tc>
      </w:tr>
      <w:tr w14:paraId="70EE19BE">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F6A9314">
            <w:pPr>
              <w:spacing w:after="0"/>
            </w:pPr>
            <w:r>
              <w:rPr>
                <w:rFonts w:ascii="Arial" w:hAnsi="Arial" w:eastAsia="Arial" w:cs="Arial"/>
                <w:b/>
                <w:bCs/>
                <w:color w:val="333333"/>
                <w:sz w:val="20"/>
                <w:szCs w:val="20"/>
              </w:rPr>
              <w:t>ESM</w:t>
            </w:r>
          </w:p>
        </w:tc>
        <w:tc>
          <w:tcPr>
            <w:tcW w:w="25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481A82F">
            <w:pPr>
              <w:spacing w:after="0"/>
            </w:pPr>
            <w:r>
              <w:rPr>
                <w:rFonts w:ascii="Arial" w:hAnsi="Arial" w:eastAsia="Arial" w:cs="Arial"/>
                <w:b w:val="0"/>
                <w:bCs w:val="0"/>
                <w:color w:val="333333"/>
                <w:sz w:val="20"/>
                <w:szCs w:val="20"/>
              </w:rPr>
              <w:t>Fee mgmt, biometric attendance, exams, timetable. 200+ schools.</w:t>
            </w:r>
          </w:p>
        </w:tc>
        <w:tc>
          <w:tcPr>
            <w:tcW w:w="25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BCE9F5A">
            <w:pPr>
              <w:spacing w:after="0"/>
            </w:pPr>
            <w:r>
              <w:rPr>
                <w:rFonts w:ascii="Arial" w:hAnsi="Arial" w:eastAsia="Arial" w:cs="Arial"/>
                <w:b w:val="0"/>
                <w:bCs w:val="0"/>
                <w:color w:val="333333"/>
                <w:sz w:val="20"/>
                <w:szCs w:val="20"/>
              </w:rPr>
              <w:t>Custom</w:t>
            </w:r>
          </w:p>
        </w:tc>
        <w:tc>
          <w:tcPr>
            <w:tcW w:w="252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7815C61E">
            <w:pPr>
              <w:spacing w:after="0"/>
            </w:pPr>
            <w:r>
              <w:rPr>
                <w:rFonts w:ascii="Arial" w:hAnsi="Arial" w:eastAsia="Arial" w:cs="Arial"/>
                <w:b w:val="0"/>
                <w:bCs w:val="0"/>
                <w:color w:val="333333"/>
                <w:sz w:val="20"/>
                <w:szCs w:val="20"/>
              </w:rPr>
              <w:t>None</w:t>
            </w:r>
          </w:p>
        </w:tc>
      </w:tr>
      <w:tr w14:paraId="40B178D3">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8DDF1DF">
            <w:pPr>
              <w:spacing w:after="0"/>
            </w:pPr>
            <w:r>
              <w:rPr>
                <w:rFonts w:ascii="Arial" w:hAnsi="Arial" w:eastAsia="Arial" w:cs="Arial"/>
                <w:b/>
                <w:bCs/>
                <w:color w:val="333333"/>
                <w:sz w:val="20"/>
                <w:szCs w:val="20"/>
              </w:rPr>
              <w:t>OurSchool­Software</w:t>
            </w:r>
          </w:p>
        </w:tc>
        <w:tc>
          <w:tcPr>
            <w:tcW w:w="252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047924DB">
            <w:pPr>
              <w:spacing w:after="0"/>
            </w:pPr>
            <w:r>
              <w:rPr>
                <w:rFonts w:ascii="Arial" w:hAnsi="Arial" w:eastAsia="Arial" w:cs="Arial"/>
                <w:b w:val="0"/>
                <w:bCs w:val="0"/>
                <w:color w:val="333333"/>
                <w:sz w:val="20"/>
                <w:szCs w:val="20"/>
              </w:rPr>
              <w:t>Cloud SMS with WhatsApp alerts. Fee, attendance, results. 1200+ schools. AWS hosted.</w:t>
            </w:r>
          </w:p>
        </w:tc>
        <w:tc>
          <w:tcPr>
            <w:tcW w:w="252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6D7EDB01">
            <w:pPr>
              <w:spacing w:after="0"/>
            </w:pPr>
            <w:r>
              <w:rPr>
                <w:rFonts w:ascii="Arial" w:hAnsi="Arial" w:eastAsia="Arial" w:cs="Arial"/>
                <w:b w:val="0"/>
                <w:bCs w:val="0"/>
                <w:color w:val="333333"/>
                <w:sz w:val="20"/>
                <w:szCs w:val="20"/>
              </w:rPr>
              <w:t>From Rs 3,000/month</w:t>
            </w:r>
          </w:p>
        </w:tc>
        <w:tc>
          <w:tcPr>
            <w:tcW w:w="25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D0530A3">
            <w:pPr>
              <w:spacing w:after="0"/>
            </w:pPr>
            <w:r>
              <w:rPr>
                <w:rFonts w:ascii="Arial" w:hAnsi="Arial" w:eastAsia="Arial" w:cs="Arial"/>
                <w:b w:val="0"/>
                <w:bCs w:val="0"/>
                <w:color w:val="333333"/>
                <w:sz w:val="20"/>
                <w:szCs w:val="20"/>
              </w:rPr>
              <w:t>None</w:t>
            </w:r>
          </w:p>
        </w:tc>
      </w:tr>
      <w:tr w14:paraId="639AB508">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E6CE36D">
            <w:pPr>
              <w:spacing w:after="0"/>
            </w:pPr>
            <w:r>
              <w:rPr>
                <w:rFonts w:ascii="Arial" w:hAnsi="Arial" w:eastAsia="Arial" w:cs="Arial"/>
                <w:b/>
                <w:bCs/>
                <w:color w:val="333333"/>
                <w:sz w:val="20"/>
                <w:szCs w:val="20"/>
              </w:rPr>
              <w:t>Sowaan ERP</w:t>
            </w:r>
          </w:p>
        </w:tc>
        <w:tc>
          <w:tcPr>
            <w:tcW w:w="25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17236F7">
            <w:pPr>
              <w:spacing w:after="0"/>
            </w:pPr>
            <w:r>
              <w:rPr>
                <w:rFonts w:ascii="Arial" w:hAnsi="Arial" w:eastAsia="Arial" w:cs="Arial"/>
                <w:b w:val="0"/>
                <w:bCs w:val="0"/>
                <w:color w:val="333333"/>
                <w:sz w:val="20"/>
                <w:szCs w:val="20"/>
              </w:rPr>
              <w:t>Full school ERP: admissions, exams, finance, HR. Urdu support.</w:t>
            </w:r>
          </w:p>
        </w:tc>
        <w:tc>
          <w:tcPr>
            <w:tcW w:w="252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37ED2E96">
            <w:pPr>
              <w:spacing w:after="0"/>
            </w:pPr>
            <w:r>
              <w:rPr>
                <w:rFonts w:ascii="Arial" w:hAnsi="Arial" w:eastAsia="Arial" w:cs="Arial"/>
                <w:b w:val="0"/>
                <w:bCs w:val="0"/>
                <w:color w:val="333333"/>
                <w:sz w:val="20"/>
                <w:szCs w:val="20"/>
              </w:rPr>
              <w:t>Custom</w:t>
            </w:r>
          </w:p>
        </w:tc>
        <w:tc>
          <w:tcPr>
            <w:tcW w:w="252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509551FF">
            <w:pPr>
              <w:spacing w:after="0"/>
            </w:pPr>
            <w:r>
              <w:rPr>
                <w:rFonts w:ascii="Arial" w:hAnsi="Arial" w:eastAsia="Arial" w:cs="Arial"/>
                <w:b w:val="0"/>
                <w:bCs w:val="0"/>
                <w:color w:val="333333"/>
                <w:sz w:val="20"/>
                <w:szCs w:val="20"/>
              </w:rPr>
              <w:t>None</w:t>
            </w:r>
          </w:p>
        </w:tc>
      </w:tr>
      <w:tr w14:paraId="24F39B17">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ACC19DC">
            <w:pPr>
              <w:spacing w:after="0"/>
            </w:pPr>
            <w:r>
              <w:rPr>
                <w:rFonts w:ascii="Arial" w:hAnsi="Arial" w:eastAsia="Arial" w:cs="Arial"/>
                <w:b/>
                <w:bCs/>
                <w:color w:val="333333"/>
                <w:sz w:val="20"/>
                <w:szCs w:val="20"/>
              </w:rPr>
              <w:t>Vidyalaya</w:t>
            </w:r>
          </w:p>
        </w:tc>
        <w:tc>
          <w:tcPr>
            <w:tcW w:w="25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D690470">
            <w:pPr>
              <w:spacing w:after="0"/>
            </w:pPr>
            <w:r>
              <w:rPr>
                <w:rFonts w:ascii="Arial" w:hAnsi="Arial" w:eastAsia="Arial" w:cs="Arial"/>
                <w:b w:val="0"/>
                <w:bCs w:val="0"/>
                <w:color w:val="333333"/>
                <w:sz w:val="20"/>
                <w:szCs w:val="20"/>
              </w:rPr>
              <w:t>SIS + LMS + ERP combo. Exam management, report cards.</w:t>
            </w:r>
          </w:p>
        </w:tc>
        <w:tc>
          <w:tcPr>
            <w:tcW w:w="25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874E40A">
            <w:pPr>
              <w:spacing w:after="0"/>
            </w:pPr>
            <w:r>
              <w:rPr>
                <w:rFonts w:ascii="Arial" w:hAnsi="Arial" w:eastAsia="Arial" w:cs="Arial"/>
                <w:b w:val="0"/>
                <w:bCs w:val="0"/>
                <w:color w:val="333333"/>
                <w:sz w:val="20"/>
                <w:szCs w:val="20"/>
              </w:rPr>
              <w:t>Custom</w:t>
            </w:r>
          </w:p>
        </w:tc>
        <w:tc>
          <w:tcPr>
            <w:tcW w:w="252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5D66BF1">
            <w:pPr>
              <w:spacing w:after="0"/>
            </w:pPr>
            <w:r>
              <w:rPr>
                <w:rFonts w:ascii="Arial" w:hAnsi="Arial" w:eastAsia="Arial" w:cs="Arial"/>
                <w:b w:val="0"/>
                <w:bCs w:val="0"/>
                <w:color w:val="333333"/>
                <w:sz w:val="20"/>
                <w:szCs w:val="20"/>
              </w:rPr>
              <w:t>None</w:t>
            </w:r>
          </w:p>
        </w:tc>
      </w:tr>
      <w:tr w14:paraId="3D80B638">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C4E13E0">
            <w:pPr>
              <w:spacing w:after="0"/>
            </w:pPr>
            <w:r>
              <w:rPr>
                <w:rFonts w:ascii="Arial" w:hAnsi="Arial" w:eastAsia="Arial" w:cs="Arial"/>
                <w:b/>
                <w:bCs/>
                <w:color w:val="333333"/>
                <w:sz w:val="20"/>
                <w:szCs w:val="20"/>
              </w:rPr>
              <w:t>Magma3C</w:t>
            </w:r>
          </w:p>
        </w:tc>
        <w:tc>
          <w:tcPr>
            <w:tcW w:w="252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271136C4">
            <w:pPr>
              <w:spacing w:after="0"/>
            </w:pPr>
            <w:r>
              <w:rPr>
                <w:rFonts w:ascii="Arial" w:hAnsi="Arial" w:eastAsia="Arial" w:cs="Arial"/>
                <w:b w:val="0"/>
                <w:bCs w:val="0"/>
                <w:color w:val="333333"/>
                <w:sz w:val="20"/>
                <w:szCs w:val="20"/>
              </w:rPr>
              <w:t>LMS for Pakistani institutes. Urdu support, Pakistan-specific settings.</w:t>
            </w:r>
          </w:p>
        </w:tc>
        <w:tc>
          <w:tcPr>
            <w:tcW w:w="252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08F425FC">
            <w:pPr>
              <w:spacing w:after="0"/>
            </w:pPr>
            <w:r>
              <w:rPr>
                <w:rFonts w:ascii="Arial" w:hAnsi="Arial" w:eastAsia="Arial" w:cs="Arial"/>
                <w:b w:val="0"/>
                <w:bCs w:val="0"/>
                <w:color w:val="333333"/>
                <w:sz w:val="20"/>
                <w:szCs w:val="20"/>
              </w:rPr>
              <w:t>Custom</w:t>
            </w:r>
          </w:p>
        </w:tc>
        <w:tc>
          <w:tcPr>
            <w:tcW w:w="252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49BFDD59">
            <w:pPr>
              <w:spacing w:after="0"/>
            </w:pPr>
            <w:r>
              <w:rPr>
                <w:rFonts w:ascii="Arial" w:hAnsi="Arial" w:eastAsia="Arial" w:cs="Arial"/>
                <w:b w:val="0"/>
                <w:bCs w:val="0"/>
                <w:color w:val="333333"/>
                <w:sz w:val="20"/>
                <w:szCs w:val="20"/>
              </w:rPr>
              <w:t>None</w:t>
            </w:r>
          </w:p>
        </w:tc>
      </w:tr>
    </w:tbl>
    <w:p w14:paraId="235BC9C9">
      <w:pPr>
        <w:spacing w:before="0" w:after="120"/>
      </w:pPr>
    </w:p>
    <w:p w14:paraId="6DE88A2B">
      <w:pPr>
        <w:pBdr>
          <w:left w:val="single" w:color="2E86C1" w:sz="12" w:space="8"/>
        </w:pBdr>
        <w:spacing w:before="120" w:after="120"/>
        <w:ind w:left="360"/>
      </w:pPr>
      <w:r>
        <w:rPr>
          <w:rFonts w:ascii="Arial" w:hAnsi="Arial" w:eastAsia="Arial" w:cs="Arial"/>
          <w:i/>
          <w:iCs/>
          <w:color w:val="1B4F72"/>
          <w:sz w:val="22"/>
          <w:szCs w:val="22"/>
        </w:rPr>
        <w:t>Key gap: Every SMS vendor in Pakistan does attendance, fees, and admin. None of them have AI-powered tutoring, lesson generation, or document analysis. They are plumbing without intelligence. Conversely, every AI education platform (global or local) lacks the admin/management layer. IqbalAI can be the first to combine both.</w:t>
      </w:r>
    </w:p>
    <w:p w14:paraId="7B9A9D1A">
      <w:r>
        <w:br w:type="page"/>
      </w:r>
    </w:p>
    <w:p w14:paraId="19196AC0">
      <w:pPr>
        <w:pStyle w:val="2"/>
        <w:spacing w:before="0" w:after="120"/>
      </w:pPr>
      <w:bookmarkStart w:id="4" w:name="_Toc1866811725"/>
      <w:r>
        <w:rPr>
          <w:rFonts w:ascii="Arial" w:hAnsi="Arial" w:eastAsia="Arial" w:cs="Arial"/>
          <w:color w:val="333333"/>
          <w:sz w:val="22"/>
          <w:szCs w:val="22"/>
        </w:rPr>
        <w:t>Gap Analysis: Where No One is Playing</w:t>
      </w:r>
      <w:bookmarkEnd w:id="4"/>
    </w:p>
    <w:p w14:paraId="62B3D8BE">
      <w:pPr>
        <w:spacing w:before="0" w:after="120"/>
      </w:pPr>
      <w:r>
        <w:rPr>
          <w:rFonts w:ascii="Arial" w:hAnsi="Arial" w:eastAsia="Arial" w:cs="Arial"/>
          <w:color w:val="333333"/>
          <w:sz w:val="22"/>
          <w:szCs w:val="22"/>
        </w:rPr>
        <w:t>Mapping every competitor against the full set of capabilities IqbalAI is targeting reveals clear white space: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18"/>
        <w:gridCol w:w="1273"/>
        <w:gridCol w:w="1196"/>
        <w:gridCol w:w="1463"/>
        <w:gridCol w:w="1214"/>
        <w:gridCol w:w="1192"/>
        <w:gridCol w:w="1204"/>
      </w:tblGrid>
      <w:tr w14:paraId="6B65D72B">
        <w:tc>
          <w:tcPr>
            <w:tcW w:w="1560" w:type="dxa"/>
            <w:tcBorders>
              <w:top w:val="single" w:color="CCCCCC" w:sz="0" w:space="0"/>
              <w:left w:val="single" w:color="CCCCCC" w:sz="0" w:space="0"/>
              <w:bottom w:val="single" w:color="CCCCCC" w:sz="0" w:space="0"/>
              <w:right w:val="single" w:color="CCCCCC" w:sz="0" w:space="0"/>
            </w:tcBorders>
            <w:shd w:val="clear" w:color="auto" w:fill="1B4F72"/>
            <w:tcMar>
              <w:top w:w="80" w:type="dxa"/>
              <w:left w:w="120" w:type="dxa"/>
              <w:bottom w:w="80" w:type="dxa"/>
              <w:right w:w="120" w:type="dxa"/>
            </w:tcMar>
            <w:vAlign w:val="center"/>
          </w:tcPr>
          <w:p w14:paraId="4FB12C18">
            <w:pPr>
              <w:spacing w:after="0"/>
            </w:pPr>
            <w:r>
              <w:rPr>
                <w:rFonts w:ascii="Arial" w:hAnsi="Arial" w:eastAsia="Arial" w:cs="Arial"/>
                <w:b/>
                <w:bCs/>
                <w:color w:val="FFFFFF"/>
                <w:sz w:val="20"/>
                <w:szCs w:val="20"/>
              </w:rPr>
              <w:t>Capability</w:t>
            </w:r>
          </w:p>
        </w:tc>
        <w:tc>
          <w:tcPr>
            <w:tcW w:w="1300" w:type="dxa"/>
            <w:tcBorders>
              <w:top w:val="single" w:color="CCCCCC" w:sz="0" w:space="0"/>
              <w:left w:val="single" w:color="CCCCCC" w:sz="0" w:space="0"/>
              <w:bottom w:val="single" w:color="CCCCCC" w:sz="0" w:space="0"/>
              <w:right w:val="single" w:color="CCCCCC" w:sz="0" w:space="0"/>
            </w:tcBorders>
            <w:shd w:val="clear" w:color="auto" w:fill="1B4F72"/>
            <w:tcMar>
              <w:top w:w="80" w:type="dxa"/>
              <w:left w:w="120" w:type="dxa"/>
              <w:bottom w:w="80" w:type="dxa"/>
              <w:right w:w="120" w:type="dxa"/>
            </w:tcMar>
            <w:vAlign w:val="center"/>
          </w:tcPr>
          <w:p w14:paraId="2C9AEDCA">
            <w:pPr>
              <w:spacing w:after="0"/>
            </w:pPr>
            <w:r>
              <w:rPr>
                <w:rFonts w:ascii="Arial" w:hAnsi="Arial" w:eastAsia="Arial" w:cs="Arial"/>
                <w:b/>
                <w:bCs/>
                <w:color w:val="FFFFFF"/>
                <w:sz w:val="20"/>
                <w:szCs w:val="20"/>
              </w:rPr>
              <w:t>Khanmigo</w:t>
            </w:r>
          </w:p>
        </w:tc>
        <w:tc>
          <w:tcPr>
            <w:tcW w:w="1300" w:type="dxa"/>
            <w:tcBorders>
              <w:top w:val="single" w:color="CCCCCC" w:sz="0" w:space="0"/>
              <w:left w:val="single" w:color="CCCCCC" w:sz="0" w:space="0"/>
              <w:bottom w:val="single" w:color="CCCCCC" w:sz="0" w:space="0"/>
              <w:right w:val="single" w:color="CCCCCC" w:sz="0" w:space="0"/>
            </w:tcBorders>
            <w:shd w:val="clear" w:color="auto" w:fill="1B4F72"/>
            <w:tcMar>
              <w:top w:w="80" w:type="dxa"/>
              <w:left w:w="120" w:type="dxa"/>
              <w:bottom w:w="80" w:type="dxa"/>
              <w:right w:w="120" w:type="dxa"/>
            </w:tcMar>
            <w:vAlign w:val="center"/>
          </w:tcPr>
          <w:p w14:paraId="41DA6CE3">
            <w:pPr>
              <w:spacing w:after="0"/>
            </w:pPr>
            <w:r>
              <w:rPr>
                <w:rFonts w:ascii="Arial" w:hAnsi="Arial" w:eastAsia="Arial" w:cs="Arial"/>
                <w:b/>
                <w:bCs/>
                <w:color w:val="FFFFFF"/>
                <w:sz w:val="20"/>
                <w:szCs w:val="20"/>
              </w:rPr>
              <w:t>Maqsad</w:t>
            </w:r>
          </w:p>
        </w:tc>
        <w:tc>
          <w:tcPr>
            <w:tcW w:w="1300" w:type="dxa"/>
            <w:tcBorders>
              <w:top w:val="single" w:color="CCCCCC" w:sz="0" w:space="0"/>
              <w:left w:val="single" w:color="CCCCCC" w:sz="0" w:space="0"/>
              <w:bottom w:val="single" w:color="CCCCCC" w:sz="0" w:space="0"/>
              <w:right w:val="single" w:color="CCCCCC" w:sz="0" w:space="0"/>
            </w:tcBorders>
            <w:shd w:val="clear" w:color="auto" w:fill="1B4F72"/>
            <w:tcMar>
              <w:top w:w="80" w:type="dxa"/>
              <w:left w:w="120" w:type="dxa"/>
              <w:bottom w:w="80" w:type="dxa"/>
              <w:right w:w="120" w:type="dxa"/>
            </w:tcMar>
            <w:vAlign w:val="center"/>
          </w:tcPr>
          <w:p w14:paraId="26675FA1">
            <w:pPr>
              <w:spacing w:after="0"/>
            </w:pPr>
            <w:r>
              <w:rPr>
                <w:rFonts w:ascii="Arial" w:hAnsi="Arial" w:eastAsia="Arial" w:cs="Arial"/>
                <w:b/>
                <w:bCs/>
                <w:color w:val="FFFFFF"/>
                <w:sz w:val="20"/>
                <w:szCs w:val="20"/>
              </w:rPr>
              <w:t>Taleem­abad</w:t>
            </w:r>
          </w:p>
        </w:tc>
        <w:tc>
          <w:tcPr>
            <w:tcW w:w="1300" w:type="dxa"/>
            <w:tcBorders>
              <w:top w:val="single" w:color="CCCCCC" w:sz="0" w:space="0"/>
              <w:left w:val="single" w:color="CCCCCC" w:sz="0" w:space="0"/>
              <w:bottom w:val="single" w:color="CCCCCC" w:sz="0" w:space="0"/>
              <w:right w:val="single" w:color="CCCCCC" w:sz="0" w:space="0"/>
            </w:tcBorders>
            <w:shd w:val="clear" w:color="auto" w:fill="1B4F72"/>
            <w:tcMar>
              <w:top w:w="80" w:type="dxa"/>
              <w:left w:w="120" w:type="dxa"/>
              <w:bottom w:w="80" w:type="dxa"/>
              <w:right w:w="120" w:type="dxa"/>
            </w:tcMar>
            <w:vAlign w:val="center"/>
          </w:tcPr>
          <w:p w14:paraId="79930248">
            <w:pPr>
              <w:spacing w:after="0"/>
            </w:pPr>
            <w:r>
              <w:rPr>
                <w:rFonts w:ascii="Arial" w:hAnsi="Arial" w:eastAsia="Arial" w:cs="Arial"/>
                <w:b/>
                <w:bCs/>
                <w:color w:val="FFFFFF"/>
                <w:sz w:val="20"/>
                <w:szCs w:val="20"/>
              </w:rPr>
              <w:t>SMS Vendors</w:t>
            </w:r>
          </w:p>
        </w:tc>
        <w:tc>
          <w:tcPr>
            <w:tcW w:w="1300" w:type="dxa"/>
            <w:tcBorders>
              <w:top w:val="single" w:color="CCCCCC" w:sz="0" w:space="0"/>
              <w:left w:val="single" w:color="CCCCCC" w:sz="0" w:space="0"/>
              <w:bottom w:val="single" w:color="CCCCCC" w:sz="0" w:space="0"/>
              <w:right w:val="single" w:color="CCCCCC" w:sz="0" w:space="0"/>
            </w:tcBorders>
            <w:shd w:val="clear" w:color="auto" w:fill="1B4F72"/>
            <w:tcMar>
              <w:top w:w="80" w:type="dxa"/>
              <w:left w:w="120" w:type="dxa"/>
              <w:bottom w:w="80" w:type="dxa"/>
              <w:right w:w="120" w:type="dxa"/>
            </w:tcMar>
            <w:vAlign w:val="center"/>
          </w:tcPr>
          <w:p w14:paraId="379FC17C">
            <w:pPr>
              <w:spacing w:after="0"/>
            </w:pPr>
            <w:r>
              <w:rPr>
                <w:rFonts w:ascii="Arial" w:hAnsi="Arial" w:eastAsia="Arial" w:cs="Arial"/>
                <w:b/>
                <w:bCs/>
                <w:color w:val="FFFFFF"/>
                <w:sz w:val="20"/>
                <w:szCs w:val="20"/>
              </w:rPr>
              <w:t>IqbalAI</w:t>
            </w:r>
          </w:p>
        </w:tc>
        <w:tc>
          <w:tcPr>
            <w:tcW w:w="1300" w:type="dxa"/>
            <w:tcBorders>
              <w:top w:val="single" w:color="CCCCCC" w:sz="0" w:space="0"/>
              <w:left w:val="single" w:color="CCCCCC" w:sz="0" w:space="0"/>
              <w:bottom w:val="single" w:color="CCCCCC" w:sz="0" w:space="0"/>
              <w:right w:val="single" w:color="CCCCCC" w:sz="0" w:space="0"/>
            </w:tcBorders>
            <w:shd w:val="clear" w:color="auto" w:fill="1B4F72"/>
            <w:tcMar>
              <w:top w:w="80" w:type="dxa"/>
              <w:left w:w="120" w:type="dxa"/>
              <w:bottom w:w="80" w:type="dxa"/>
              <w:right w:w="120" w:type="dxa"/>
            </w:tcMar>
            <w:vAlign w:val="center"/>
          </w:tcPr>
          <w:p w14:paraId="19D33AB8">
            <w:pPr>
              <w:spacing w:after="0"/>
            </w:pPr>
            <w:r>
              <w:rPr>
                <w:rFonts w:ascii="Arial" w:hAnsi="Arial" w:eastAsia="Arial" w:cs="Arial"/>
                <w:b/>
                <w:bCs/>
                <w:color w:val="FFFFFF"/>
                <w:sz w:val="20"/>
                <w:szCs w:val="20"/>
              </w:rPr>
              <w:t>Gap?</w:t>
            </w:r>
          </w:p>
        </w:tc>
      </w:tr>
      <w:tr w14:paraId="0D23F368">
        <w:tc>
          <w:tcPr>
            <w:tcW w:w="1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71AFF2C">
            <w:pPr>
              <w:spacing w:after="0"/>
            </w:pPr>
            <w:r>
              <w:rPr>
                <w:rFonts w:ascii="Arial" w:hAnsi="Arial" w:eastAsia="Arial" w:cs="Arial"/>
                <w:b/>
                <w:bCs/>
                <w:color w:val="333333"/>
                <w:sz w:val="20"/>
                <w:szCs w:val="20"/>
              </w:rPr>
              <w:t>AI Tutoring</w:t>
            </w:r>
          </w:p>
        </w:tc>
        <w:tc>
          <w:tcPr>
            <w:tcW w:w="1300" w:type="dxa"/>
            <w:tcBorders>
              <w:top w:val="single" w:color="CCCCCC" w:sz="0" w:space="0"/>
              <w:left w:val="single" w:color="CCCCCC" w:sz="0" w:space="0"/>
              <w:bottom w:val="single" w:color="CCCCCC" w:sz="0" w:space="0"/>
              <w:right w:val="single" w:color="CCCCCC" w:sz="0" w:space="0"/>
            </w:tcBorders>
            <w:shd w:val="clear" w:color="auto" w:fill="D5F5E3"/>
            <w:tcMar>
              <w:top w:w="80" w:type="dxa"/>
              <w:left w:w="120" w:type="dxa"/>
              <w:bottom w:w="80" w:type="dxa"/>
              <w:right w:w="120" w:type="dxa"/>
            </w:tcMar>
            <w:vAlign w:val="center"/>
          </w:tcPr>
          <w:p w14:paraId="275859D6">
            <w:pPr>
              <w:spacing w:after="0"/>
            </w:pPr>
            <w:r>
              <w:rPr>
                <w:rFonts w:ascii="Arial" w:hAnsi="Arial" w:eastAsia="Arial" w:cs="Arial"/>
                <w:b w:val="0"/>
                <w:bCs w:val="0"/>
                <w:color w:val="1E8449"/>
                <w:sz w:val="20"/>
                <w:szCs w:val="20"/>
              </w:rPr>
              <w:t>✓</w:t>
            </w:r>
          </w:p>
        </w:tc>
        <w:tc>
          <w:tcPr>
            <w:tcW w:w="1300" w:type="dxa"/>
            <w:tcBorders>
              <w:top w:val="single" w:color="CCCCCC" w:sz="0" w:space="0"/>
              <w:left w:val="single" w:color="CCCCCC" w:sz="0" w:space="0"/>
              <w:bottom w:val="single" w:color="CCCCCC" w:sz="0" w:space="0"/>
              <w:right w:val="single" w:color="CCCCCC" w:sz="0" w:space="0"/>
            </w:tcBorders>
            <w:shd w:val="clear" w:color="auto" w:fill="FADBD8"/>
            <w:tcMar>
              <w:top w:w="80" w:type="dxa"/>
              <w:left w:w="120" w:type="dxa"/>
              <w:bottom w:w="80" w:type="dxa"/>
              <w:right w:w="120" w:type="dxa"/>
            </w:tcMar>
            <w:vAlign w:val="center"/>
          </w:tcPr>
          <w:p w14:paraId="35D43B75">
            <w:pPr>
              <w:spacing w:after="0"/>
            </w:pPr>
            <w:r>
              <w:rPr>
                <w:rFonts w:ascii="Arial" w:hAnsi="Arial" w:eastAsia="Arial" w:cs="Arial"/>
                <w:b w:val="0"/>
                <w:bCs w:val="0"/>
                <w:color w:val="C0392B"/>
                <w:sz w:val="20"/>
                <w:szCs w:val="20"/>
              </w:rPr>
              <w:t>✗</w:t>
            </w:r>
          </w:p>
        </w:tc>
        <w:tc>
          <w:tcPr>
            <w:tcW w:w="1300" w:type="dxa"/>
            <w:tcBorders>
              <w:top w:val="single" w:color="CCCCCC" w:sz="0" w:space="0"/>
              <w:left w:val="single" w:color="CCCCCC" w:sz="0" w:space="0"/>
              <w:bottom w:val="single" w:color="CCCCCC" w:sz="0" w:space="0"/>
              <w:right w:val="single" w:color="CCCCCC" w:sz="0" w:space="0"/>
            </w:tcBorders>
            <w:shd w:val="clear" w:color="auto" w:fill="FADBD8"/>
            <w:tcMar>
              <w:top w:w="80" w:type="dxa"/>
              <w:left w:w="120" w:type="dxa"/>
              <w:bottom w:w="80" w:type="dxa"/>
              <w:right w:w="120" w:type="dxa"/>
            </w:tcMar>
            <w:vAlign w:val="center"/>
          </w:tcPr>
          <w:p w14:paraId="6570E13D">
            <w:pPr>
              <w:spacing w:after="0"/>
            </w:pPr>
            <w:r>
              <w:rPr>
                <w:rFonts w:ascii="Arial" w:hAnsi="Arial" w:eastAsia="Arial" w:cs="Arial"/>
                <w:b w:val="0"/>
                <w:bCs w:val="0"/>
                <w:color w:val="C0392B"/>
                <w:sz w:val="20"/>
                <w:szCs w:val="20"/>
              </w:rPr>
              <w:t>✗</w:t>
            </w:r>
          </w:p>
        </w:tc>
        <w:tc>
          <w:tcPr>
            <w:tcW w:w="1300" w:type="dxa"/>
            <w:tcBorders>
              <w:top w:val="single" w:color="CCCCCC" w:sz="0" w:space="0"/>
              <w:left w:val="single" w:color="CCCCCC" w:sz="0" w:space="0"/>
              <w:bottom w:val="single" w:color="CCCCCC" w:sz="0" w:space="0"/>
              <w:right w:val="single" w:color="CCCCCC" w:sz="0" w:space="0"/>
            </w:tcBorders>
            <w:shd w:val="clear" w:color="auto" w:fill="FADBD8"/>
            <w:tcMar>
              <w:top w:w="80" w:type="dxa"/>
              <w:left w:w="120" w:type="dxa"/>
              <w:bottom w:w="80" w:type="dxa"/>
              <w:right w:w="120" w:type="dxa"/>
            </w:tcMar>
            <w:vAlign w:val="center"/>
          </w:tcPr>
          <w:p w14:paraId="1BDC5973">
            <w:pPr>
              <w:spacing w:after="0"/>
            </w:pPr>
            <w:r>
              <w:rPr>
                <w:rFonts w:ascii="Arial" w:hAnsi="Arial" w:eastAsia="Arial" w:cs="Arial"/>
                <w:b w:val="0"/>
                <w:bCs w:val="0"/>
                <w:color w:val="C0392B"/>
                <w:sz w:val="20"/>
                <w:szCs w:val="20"/>
              </w:rPr>
              <w:t>✗</w:t>
            </w:r>
          </w:p>
        </w:tc>
        <w:tc>
          <w:tcPr>
            <w:tcW w:w="1300" w:type="dxa"/>
            <w:tcBorders>
              <w:top w:val="single" w:color="CCCCCC" w:sz="0" w:space="0"/>
              <w:left w:val="single" w:color="CCCCCC" w:sz="0" w:space="0"/>
              <w:bottom w:val="single" w:color="CCCCCC" w:sz="0" w:space="0"/>
              <w:right w:val="single" w:color="CCCCCC" w:sz="0" w:space="0"/>
            </w:tcBorders>
            <w:shd w:val="clear" w:color="auto" w:fill="D5F5E3"/>
            <w:tcMar>
              <w:top w:w="80" w:type="dxa"/>
              <w:left w:w="120" w:type="dxa"/>
              <w:bottom w:w="80" w:type="dxa"/>
              <w:right w:w="120" w:type="dxa"/>
            </w:tcMar>
            <w:vAlign w:val="center"/>
          </w:tcPr>
          <w:p w14:paraId="198554DC">
            <w:pPr>
              <w:spacing w:after="0"/>
            </w:pPr>
            <w:r>
              <w:rPr>
                <w:rFonts w:ascii="Arial" w:hAnsi="Arial" w:eastAsia="Arial" w:cs="Arial"/>
                <w:b w:val="0"/>
                <w:bCs w:val="0"/>
                <w:color w:val="1E8449"/>
                <w:sz w:val="20"/>
                <w:szCs w:val="20"/>
              </w:rPr>
              <w:t>✓</w:t>
            </w:r>
          </w:p>
        </w:tc>
        <w:tc>
          <w:tcPr>
            <w:tcW w:w="1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A96A4FC">
            <w:pPr>
              <w:spacing w:after="0"/>
            </w:pPr>
            <w:r>
              <w:rPr>
                <w:rFonts w:ascii="Arial" w:hAnsi="Arial" w:eastAsia="Arial" w:cs="Arial"/>
                <w:b w:val="0"/>
                <w:bCs w:val="0"/>
                <w:color w:val="333333"/>
                <w:sz w:val="20"/>
                <w:szCs w:val="20"/>
              </w:rPr>
              <w:t>Pakistan</w:t>
            </w:r>
          </w:p>
        </w:tc>
      </w:tr>
      <w:tr w14:paraId="6E0DB810">
        <w:tc>
          <w:tcPr>
            <w:tcW w:w="1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C61CF17">
            <w:pPr>
              <w:spacing w:after="0"/>
            </w:pPr>
            <w:r>
              <w:rPr>
                <w:rFonts w:ascii="Arial" w:hAnsi="Arial" w:eastAsia="Arial" w:cs="Arial"/>
                <w:b/>
                <w:bCs/>
                <w:color w:val="333333"/>
                <w:sz w:val="20"/>
                <w:szCs w:val="20"/>
              </w:rPr>
              <w:t>Lesson Gen from Docs</w:t>
            </w:r>
          </w:p>
        </w:tc>
        <w:tc>
          <w:tcPr>
            <w:tcW w:w="1300" w:type="dxa"/>
            <w:tcBorders>
              <w:top w:val="single" w:color="CCCCCC" w:sz="0" w:space="0"/>
              <w:left w:val="single" w:color="CCCCCC" w:sz="0" w:space="0"/>
              <w:bottom w:val="single" w:color="CCCCCC" w:sz="0" w:space="0"/>
              <w:right w:val="single" w:color="CCCCCC" w:sz="0" w:space="0"/>
            </w:tcBorders>
            <w:shd w:val="clear" w:color="auto" w:fill="FADBD8"/>
            <w:tcMar>
              <w:top w:w="80" w:type="dxa"/>
              <w:left w:w="120" w:type="dxa"/>
              <w:bottom w:w="80" w:type="dxa"/>
              <w:right w:w="120" w:type="dxa"/>
            </w:tcMar>
            <w:vAlign w:val="center"/>
          </w:tcPr>
          <w:p w14:paraId="347A373F">
            <w:pPr>
              <w:spacing w:after="0"/>
            </w:pPr>
            <w:r>
              <w:rPr>
                <w:rFonts w:ascii="Arial" w:hAnsi="Arial" w:eastAsia="Arial" w:cs="Arial"/>
                <w:b w:val="0"/>
                <w:bCs w:val="0"/>
                <w:color w:val="C0392B"/>
                <w:sz w:val="20"/>
                <w:szCs w:val="20"/>
              </w:rPr>
              <w:t>✗</w:t>
            </w:r>
          </w:p>
        </w:tc>
        <w:tc>
          <w:tcPr>
            <w:tcW w:w="1300" w:type="dxa"/>
            <w:tcBorders>
              <w:top w:val="single" w:color="CCCCCC" w:sz="0" w:space="0"/>
              <w:left w:val="single" w:color="CCCCCC" w:sz="0" w:space="0"/>
              <w:bottom w:val="single" w:color="CCCCCC" w:sz="0" w:space="0"/>
              <w:right w:val="single" w:color="CCCCCC" w:sz="0" w:space="0"/>
            </w:tcBorders>
            <w:shd w:val="clear" w:color="auto" w:fill="FADBD8"/>
            <w:tcMar>
              <w:top w:w="80" w:type="dxa"/>
              <w:left w:w="120" w:type="dxa"/>
              <w:bottom w:w="80" w:type="dxa"/>
              <w:right w:w="120" w:type="dxa"/>
            </w:tcMar>
            <w:vAlign w:val="center"/>
          </w:tcPr>
          <w:p w14:paraId="7FADB853">
            <w:pPr>
              <w:spacing w:after="0"/>
            </w:pPr>
            <w:r>
              <w:rPr>
                <w:rFonts w:ascii="Arial" w:hAnsi="Arial" w:eastAsia="Arial" w:cs="Arial"/>
                <w:b w:val="0"/>
                <w:bCs w:val="0"/>
                <w:color w:val="C0392B"/>
                <w:sz w:val="20"/>
                <w:szCs w:val="20"/>
              </w:rPr>
              <w:t>✗</w:t>
            </w:r>
          </w:p>
        </w:tc>
        <w:tc>
          <w:tcPr>
            <w:tcW w:w="1300" w:type="dxa"/>
            <w:tcBorders>
              <w:top w:val="single" w:color="CCCCCC" w:sz="0" w:space="0"/>
              <w:left w:val="single" w:color="CCCCCC" w:sz="0" w:space="0"/>
              <w:bottom w:val="single" w:color="CCCCCC" w:sz="0" w:space="0"/>
              <w:right w:val="single" w:color="CCCCCC" w:sz="0" w:space="0"/>
            </w:tcBorders>
            <w:shd w:val="clear" w:color="auto" w:fill="FADBD8"/>
            <w:tcMar>
              <w:top w:w="80" w:type="dxa"/>
              <w:left w:w="120" w:type="dxa"/>
              <w:bottom w:w="80" w:type="dxa"/>
              <w:right w:w="120" w:type="dxa"/>
            </w:tcMar>
            <w:vAlign w:val="center"/>
          </w:tcPr>
          <w:p w14:paraId="5223AA9A">
            <w:pPr>
              <w:spacing w:after="0"/>
            </w:pPr>
            <w:r>
              <w:rPr>
                <w:rFonts w:ascii="Arial" w:hAnsi="Arial" w:eastAsia="Arial" w:cs="Arial"/>
                <w:b w:val="0"/>
                <w:bCs w:val="0"/>
                <w:color w:val="C0392B"/>
                <w:sz w:val="20"/>
                <w:szCs w:val="20"/>
              </w:rPr>
              <w:t>✗</w:t>
            </w:r>
          </w:p>
        </w:tc>
        <w:tc>
          <w:tcPr>
            <w:tcW w:w="1300" w:type="dxa"/>
            <w:tcBorders>
              <w:top w:val="single" w:color="CCCCCC" w:sz="0" w:space="0"/>
              <w:left w:val="single" w:color="CCCCCC" w:sz="0" w:space="0"/>
              <w:bottom w:val="single" w:color="CCCCCC" w:sz="0" w:space="0"/>
              <w:right w:val="single" w:color="CCCCCC" w:sz="0" w:space="0"/>
            </w:tcBorders>
            <w:shd w:val="clear" w:color="auto" w:fill="FADBD8"/>
            <w:tcMar>
              <w:top w:w="80" w:type="dxa"/>
              <w:left w:w="120" w:type="dxa"/>
              <w:bottom w:w="80" w:type="dxa"/>
              <w:right w:w="120" w:type="dxa"/>
            </w:tcMar>
            <w:vAlign w:val="center"/>
          </w:tcPr>
          <w:p w14:paraId="7B8EBC6E">
            <w:pPr>
              <w:spacing w:after="0"/>
            </w:pPr>
            <w:r>
              <w:rPr>
                <w:rFonts w:ascii="Arial" w:hAnsi="Arial" w:eastAsia="Arial" w:cs="Arial"/>
                <w:b w:val="0"/>
                <w:bCs w:val="0"/>
                <w:color w:val="C0392B"/>
                <w:sz w:val="20"/>
                <w:szCs w:val="20"/>
              </w:rPr>
              <w:t>✗</w:t>
            </w:r>
          </w:p>
        </w:tc>
        <w:tc>
          <w:tcPr>
            <w:tcW w:w="1300" w:type="dxa"/>
            <w:tcBorders>
              <w:top w:val="single" w:color="CCCCCC" w:sz="0" w:space="0"/>
              <w:left w:val="single" w:color="CCCCCC" w:sz="0" w:space="0"/>
              <w:bottom w:val="single" w:color="CCCCCC" w:sz="0" w:space="0"/>
              <w:right w:val="single" w:color="CCCCCC" w:sz="0" w:space="0"/>
            </w:tcBorders>
            <w:shd w:val="clear" w:color="auto" w:fill="D5F5E3"/>
            <w:tcMar>
              <w:top w:w="80" w:type="dxa"/>
              <w:left w:w="120" w:type="dxa"/>
              <w:bottom w:w="80" w:type="dxa"/>
              <w:right w:w="120" w:type="dxa"/>
            </w:tcMar>
            <w:vAlign w:val="center"/>
          </w:tcPr>
          <w:p w14:paraId="01E43F98">
            <w:pPr>
              <w:spacing w:after="0"/>
            </w:pPr>
            <w:r>
              <w:rPr>
                <w:rFonts w:ascii="Arial" w:hAnsi="Arial" w:eastAsia="Arial" w:cs="Arial"/>
                <w:b w:val="0"/>
                <w:bCs w:val="0"/>
                <w:color w:val="1E8449"/>
                <w:sz w:val="20"/>
                <w:szCs w:val="20"/>
              </w:rPr>
              <w:t>✓</w:t>
            </w:r>
          </w:p>
        </w:tc>
        <w:tc>
          <w:tcPr>
            <w:tcW w:w="1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4C69519">
            <w:pPr>
              <w:spacing w:after="0"/>
            </w:pPr>
            <w:r>
              <w:rPr>
                <w:rFonts w:ascii="Arial" w:hAnsi="Arial" w:eastAsia="Arial" w:cs="Arial"/>
                <w:b w:val="0"/>
                <w:bCs w:val="0"/>
                <w:color w:val="333333"/>
                <w:sz w:val="20"/>
                <w:szCs w:val="20"/>
              </w:rPr>
              <w:t>Global</w:t>
            </w:r>
          </w:p>
        </w:tc>
      </w:tr>
      <w:tr w14:paraId="2033B326">
        <w:tc>
          <w:tcPr>
            <w:tcW w:w="1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32F1F5E">
            <w:pPr>
              <w:spacing w:after="0"/>
            </w:pPr>
            <w:r>
              <w:rPr>
                <w:rFonts w:ascii="Arial" w:hAnsi="Arial" w:eastAsia="Arial" w:cs="Arial"/>
                <w:b/>
                <w:bCs/>
                <w:color w:val="333333"/>
                <w:sz w:val="20"/>
                <w:szCs w:val="20"/>
              </w:rPr>
              <w:t>Urdu Language</w:t>
            </w:r>
          </w:p>
        </w:tc>
        <w:tc>
          <w:tcPr>
            <w:tcW w:w="1300" w:type="dxa"/>
            <w:tcBorders>
              <w:top w:val="single" w:color="CCCCCC" w:sz="0" w:space="0"/>
              <w:left w:val="single" w:color="CCCCCC" w:sz="0" w:space="0"/>
              <w:bottom w:val="single" w:color="CCCCCC" w:sz="0" w:space="0"/>
              <w:right w:val="single" w:color="CCCCCC" w:sz="0" w:space="0"/>
            </w:tcBorders>
            <w:shd w:val="clear" w:color="auto" w:fill="FADBD8"/>
            <w:tcMar>
              <w:top w:w="80" w:type="dxa"/>
              <w:left w:w="120" w:type="dxa"/>
              <w:bottom w:w="80" w:type="dxa"/>
              <w:right w:w="120" w:type="dxa"/>
            </w:tcMar>
            <w:vAlign w:val="center"/>
          </w:tcPr>
          <w:p w14:paraId="085B7565">
            <w:pPr>
              <w:spacing w:after="0"/>
            </w:pPr>
            <w:r>
              <w:rPr>
                <w:rFonts w:ascii="Arial" w:hAnsi="Arial" w:eastAsia="Arial" w:cs="Arial"/>
                <w:b w:val="0"/>
                <w:bCs w:val="0"/>
                <w:color w:val="C0392B"/>
                <w:sz w:val="20"/>
                <w:szCs w:val="20"/>
              </w:rPr>
              <w:t>✗</w:t>
            </w:r>
          </w:p>
        </w:tc>
        <w:tc>
          <w:tcPr>
            <w:tcW w:w="1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BE235D3">
            <w:pPr>
              <w:spacing w:after="0"/>
            </w:pPr>
            <w:r>
              <w:rPr>
                <w:rFonts w:ascii="Arial" w:hAnsi="Arial" w:eastAsia="Arial" w:cs="Arial"/>
                <w:b w:val="0"/>
                <w:bCs w:val="0"/>
                <w:color w:val="333333"/>
                <w:sz w:val="20"/>
                <w:szCs w:val="20"/>
              </w:rPr>
              <w:t>Partial</w:t>
            </w:r>
          </w:p>
        </w:tc>
        <w:tc>
          <w:tcPr>
            <w:tcW w:w="1300" w:type="dxa"/>
            <w:tcBorders>
              <w:top w:val="single" w:color="CCCCCC" w:sz="0" w:space="0"/>
              <w:left w:val="single" w:color="CCCCCC" w:sz="0" w:space="0"/>
              <w:bottom w:val="single" w:color="CCCCCC" w:sz="0" w:space="0"/>
              <w:right w:val="single" w:color="CCCCCC" w:sz="0" w:space="0"/>
            </w:tcBorders>
            <w:shd w:val="clear" w:color="auto" w:fill="D5F5E3"/>
            <w:tcMar>
              <w:top w:w="80" w:type="dxa"/>
              <w:left w:w="120" w:type="dxa"/>
              <w:bottom w:w="80" w:type="dxa"/>
              <w:right w:w="120" w:type="dxa"/>
            </w:tcMar>
            <w:vAlign w:val="center"/>
          </w:tcPr>
          <w:p w14:paraId="17608FB9">
            <w:pPr>
              <w:spacing w:after="0"/>
            </w:pPr>
            <w:r>
              <w:rPr>
                <w:rFonts w:ascii="Arial" w:hAnsi="Arial" w:eastAsia="Arial" w:cs="Arial"/>
                <w:b w:val="0"/>
                <w:bCs w:val="0"/>
                <w:color w:val="1E8449"/>
                <w:sz w:val="20"/>
                <w:szCs w:val="20"/>
              </w:rPr>
              <w:t>✓</w:t>
            </w:r>
          </w:p>
        </w:tc>
        <w:tc>
          <w:tcPr>
            <w:tcW w:w="1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B9362F5">
            <w:pPr>
              <w:spacing w:after="0"/>
            </w:pPr>
            <w:r>
              <w:rPr>
                <w:rFonts w:ascii="Arial" w:hAnsi="Arial" w:eastAsia="Arial" w:cs="Arial"/>
                <w:b w:val="0"/>
                <w:bCs w:val="0"/>
                <w:color w:val="333333"/>
                <w:sz w:val="20"/>
                <w:szCs w:val="20"/>
              </w:rPr>
              <w:t>Some</w:t>
            </w:r>
          </w:p>
        </w:tc>
        <w:tc>
          <w:tcPr>
            <w:tcW w:w="1300" w:type="dxa"/>
            <w:tcBorders>
              <w:top w:val="single" w:color="CCCCCC" w:sz="0" w:space="0"/>
              <w:left w:val="single" w:color="CCCCCC" w:sz="0" w:space="0"/>
              <w:bottom w:val="single" w:color="CCCCCC" w:sz="0" w:space="0"/>
              <w:right w:val="single" w:color="CCCCCC" w:sz="0" w:space="0"/>
            </w:tcBorders>
            <w:shd w:val="clear" w:color="auto" w:fill="D5F5E3"/>
            <w:tcMar>
              <w:top w:w="80" w:type="dxa"/>
              <w:left w:w="120" w:type="dxa"/>
              <w:bottom w:w="80" w:type="dxa"/>
              <w:right w:w="120" w:type="dxa"/>
            </w:tcMar>
            <w:vAlign w:val="center"/>
          </w:tcPr>
          <w:p w14:paraId="479136B8">
            <w:pPr>
              <w:spacing w:after="0"/>
            </w:pPr>
            <w:r>
              <w:rPr>
                <w:rFonts w:ascii="Arial" w:hAnsi="Arial" w:eastAsia="Arial" w:cs="Arial"/>
                <w:b w:val="0"/>
                <w:bCs w:val="0"/>
                <w:color w:val="1E8449"/>
                <w:sz w:val="20"/>
                <w:szCs w:val="20"/>
              </w:rPr>
              <w:t>✓</w:t>
            </w:r>
          </w:p>
        </w:tc>
        <w:tc>
          <w:tcPr>
            <w:tcW w:w="1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9171B81">
            <w:pPr>
              <w:spacing w:after="0"/>
            </w:pPr>
            <w:r>
              <w:rPr>
                <w:rFonts w:ascii="Arial" w:hAnsi="Arial" w:eastAsia="Arial" w:cs="Arial"/>
                <w:b w:val="0"/>
                <w:bCs w:val="0"/>
                <w:color w:val="333333"/>
                <w:sz w:val="20"/>
                <w:szCs w:val="20"/>
              </w:rPr>
              <w:t>AI gap</w:t>
            </w:r>
          </w:p>
        </w:tc>
      </w:tr>
      <w:tr w14:paraId="1B708FB8">
        <w:tc>
          <w:tcPr>
            <w:tcW w:w="1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7DCD47B">
            <w:pPr>
              <w:spacing w:after="0"/>
            </w:pPr>
            <w:r>
              <w:rPr>
                <w:rFonts w:ascii="Arial" w:hAnsi="Arial" w:eastAsia="Arial" w:cs="Arial"/>
                <w:b/>
                <w:bCs/>
                <w:color w:val="333333"/>
                <w:sz w:val="20"/>
                <w:szCs w:val="20"/>
              </w:rPr>
              <w:t>Pakistani Curriculum</w:t>
            </w:r>
          </w:p>
        </w:tc>
        <w:tc>
          <w:tcPr>
            <w:tcW w:w="1300" w:type="dxa"/>
            <w:tcBorders>
              <w:top w:val="single" w:color="CCCCCC" w:sz="0" w:space="0"/>
              <w:left w:val="single" w:color="CCCCCC" w:sz="0" w:space="0"/>
              <w:bottom w:val="single" w:color="CCCCCC" w:sz="0" w:space="0"/>
              <w:right w:val="single" w:color="CCCCCC" w:sz="0" w:space="0"/>
            </w:tcBorders>
            <w:shd w:val="clear" w:color="auto" w:fill="FADBD8"/>
            <w:tcMar>
              <w:top w:w="80" w:type="dxa"/>
              <w:left w:w="120" w:type="dxa"/>
              <w:bottom w:w="80" w:type="dxa"/>
              <w:right w:w="120" w:type="dxa"/>
            </w:tcMar>
            <w:vAlign w:val="center"/>
          </w:tcPr>
          <w:p w14:paraId="1564FFF1">
            <w:pPr>
              <w:spacing w:after="0"/>
            </w:pPr>
            <w:r>
              <w:rPr>
                <w:rFonts w:ascii="Arial" w:hAnsi="Arial" w:eastAsia="Arial" w:cs="Arial"/>
                <w:b w:val="0"/>
                <w:bCs w:val="0"/>
                <w:color w:val="C0392B"/>
                <w:sz w:val="20"/>
                <w:szCs w:val="20"/>
              </w:rPr>
              <w:t>✗</w:t>
            </w:r>
          </w:p>
        </w:tc>
        <w:tc>
          <w:tcPr>
            <w:tcW w:w="1300" w:type="dxa"/>
            <w:tcBorders>
              <w:top w:val="single" w:color="CCCCCC" w:sz="0" w:space="0"/>
              <w:left w:val="single" w:color="CCCCCC" w:sz="0" w:space="0"/>
              <w:bottom w:val="single" w:color="CCCCCC" w:sz="0" w:space="0"/>
              <w:right w:val="single" w:color="CCCCCC" w:sz="0" w:space="0"/>
            </w:tcBorders>
            <w:shd w:val="clear" w:color="auto" w:fill="D5F5E3"/>
            <w:tcMar>
              <w:top w:w="80" w:type="dxa"/>
              <w:left w:w="120" w:type="dxa"/>
              <w:bottom w:w="80" w:type="dxa"/>
              <w:right w:w="120" w:type="dxa"/>
            </w:tcMar>
            <w:vAlign w:val="center"/>
          </w:tcPr>
          <w:p w14:paraId="4FBA89DB">
            <w:pPr>
              <w:spacing w:after="0"/>
            </w:pPr>
            <w:r>
              <w:rPr>
                <w:rFonts w:ascii="Arial" w:hAnsi="Arial" w:eastAsia="Arial" w:cs="Arial"/>
                <w:b w:val="0"/>
                <w:bCs w:val="0"/>
                <w:color w:val="1E8449"/>
                <w:sz w:val="20"/>
                <w:szCs w:val="20"/>
              </w:rPr>
              <w:t>✓</w:t>
            </w:r>
          </w:p>
        </w:tc>
        <w:tc>
          <w:tcPr>
            <w:tcW w:w="1300" w:type="dxa"/>
            <w:tcBorders>
              <w:top w:val="single" w:color="CCCCCC" w:sz="0" w:space="0"/>
              <w:left w:val="single" w:color="CCCCCC" w:sz="0" w:space="0"/>
              <w:bottom w:val="single" w:color="CCCCCC" w:sz="0" w:space="0"/>
              <w:right w:val="single" w:color="CCCCCC" w:sz="0" w:space="0"/>
            </w:tcBorders>
            <w:shd w:val="clear" w:color="auto" w:fill="D5F5E3"/>
            <w:tcMar>
              <w:top w:w="80" w:type="dxa"/>
              <w:left w:w="120" w:type="dxa"/>
              <w:bottom w:w="80" w:type="dxa"/>
              <w:right w:w="120" w:type="dxa"/>
            </w:tcMar>
            <w:vAlign w:val="center"/>
          </w:tcPr>
          <w:p w14:paraId="0CE67824">
            <w:pPr>
              <w:spacing w:after="0"/>
            </w:pPr>
            <w:r>
              <w:rPr>
                <w:rFonts w:ascii="Arial" w:hAnsi="Arial" w:eastAsia="Arial" w:cs="Arial"/>
                <w:b w:val="0"/>
                <w:bCs w:val="0"/>
                <w:color w:val="1E8449"/>
                <w:sz w:val="20"/>
                <w:szCs w:val="20"/>
              </w:rPr>
              <w:t>✓</w:t>
            </w:r>
          </w:p>
        </w:tc>
        <w:tc>
          <w:tcPr>
            <w:tcW w:w="1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C8EF398">
            <w:pPr>
              <w:spacing w:after="0"/>
            </w:pPr>
            <w:r>
              <w:rPr>
                <w:rFonts w:ascii="Arial" w:hAnsi="Arial" w:eastAsia="Arial" w:cs="Arial"/>
                <w:b w:val="0"/>
                <w:bCs w:val="0"/>
                <w:color w:val="333333"/>
                <w:sz w:val="20"/>
                <w:szCs w:val="20"/>
              </w:rPr>
              <w:t>N/A</w:t>
            </w:r>
          </w:p>
        </w:tc>
        <w:tc>
          <w:tcPr>
            <w:tcW w:w="1300" w:type="dxa"/>
            <w:tcBorders>
              <w:top w:val="single" w:color="CCCCCC" w:sz="0" w:space="0"/>
              <w:left w:val="single" w:color="CCCCCC" w:sz="0" w:space="0"/>
              <w:bottom w:val="single" w:color="CCCCCC" w:sz="0" w:space="0"/>
              <w:right w:val="single" w:color="CCCCCC" w:sz="0" w:space="0"/>
            </w:tcBorders>
            <w:shd w:val="clear" w:color="auto" w:fill="D5F5E3"/>
            <w:tcMar>
              <w:top w:w="80" w:type="dxa"/>
              <w:left w:w="120" w:type="dxa"/>
              <w:bottom w:w="80" w:type="dxa"/>
              <w:right w:w="120" w:type="dxa"/>
            </w:tcMar>
            <w:vAlign w:val="center"/>
          </w:tcPr>
          <w:p w14:paraId="00038A59">
            <w:pPr>
              <w:spacing w:after="0"/>
            </w:pPr>
            <w:r>
              <w:rPr>
                <w:rFonts w:ascii="Arial" w:hAnsi="Arial" w:eastAsia="Arial" w:cs="Arial"/>
                <w:b w:val="0"/>
                <w:bCs w:val="0"/>
                <w:color w:val="1E8449"/>
                <w:sz w:val="20"/>
                <w:szCs w:val="20"/>
              </w:rPr>
              <w:t>✓</w:t>
            </w:r>
          </w:p>
        </w:tc>
        <w:tc>
          <w:tcPr>
            <w:tcW w:w="1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474CC7A">
            <w:pPr>
              <w:spacing w:after="0"/>
            </w:pPr>
            <w:r>
              <w:rPr>
                <w:rFonts w:ascii="Arial" w:hAnsi="Arial" w:eastAsia="Arial" w:cs="Arial"/>
                <w:b w:val="0"/>
                <w:bCs w:val="0"/>
                <w:color w:val="333333"/>
                <w:sz w:val="20"/>
                <w:szCs w:val="20"/>
              </w:rPr>
              <w:t>AI gap</w:t>
            </w:r>
          </w:p>
        </w:tc>
      </w:tr>
      <w:tr w14:paraId="5DD51836">
        <w:tc>
          <w:tcPr>
            <w:tcW w:w="1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61F409F">
            <w:pPr>
              <w:spacing w:after="0"/>
            </w:pPr>
            <w:r>
              <w:rPr>
                <w:rFonts w:ascii="Arial" w:hAnsi="Arial" w:eastAsia="Arial" w:cs="Arial"/>
                <w:b/>
                <w:bCs/>
                <w:color w:val="333333"/>
                <w:sz w:val="20"/>
                <w:szCs w:val="20"/>
              </w:rPr>
              <w:t>Document RAG</w:t>
            </w:r>
          </w:p>
        </w:tc>
        <w:tc>
          <w:tcPr>
            <w:tcW w:w="1300" w:type="dxa"/>
            <w:tcBorders>
              <w:top w:val="single" w:color="CCCCCC" w:sz="0" w:space="0"/>
              <w:left w:val="single" w:color="CCCCCC" w:sz="0" w:space="0"/>
              <w:bottom w:val="single" w:color="CCCCCC" w:sz="0" w:space="0"/>
              <w:right w:val="single" w:color="CCCCCC" w:sz="0" w:space="0"/>
            </w:tcBorders>
            <w:shd w:val="clear" w:color="auto" w:fill="FADBD8"/>
            <w:tcMar>
              <w:top w:w="80" w:type="dxa"/>
              <w:left w:w="120" w:type="dxa"/>
              <w:bottom w:w="80" w:type="dxa"/>
              <w:right w:w="120" w:type="dxa"/>
            </w:tcMar>
            <w:vAlign w:val="center"/>
          </w:tcPr>
          <w:p w14:paraId="4F1CF9DB">
            <w:pPr>
              <w:spacing w:after="0"/>
            </w:pPr>
            <w:r>
              <w:rPr>
                <w:rFonts w:ascii="Arial" w:hAnsi="Arial" w:eastAsia="Arial" w:cs="Arial"/>
                <w:b w:val="0"/>
                <w:bCs w:val="0"/>
                <w:color w:val="C0392B"/>
                <w:sz w:val="20"/>
                <w:szCs w:val="20"/>
              </w:rPr>
              <w:t>✗</w:t>
            </w:r>
          </w:p>
        </w:tc>
        <w:tc>
          <w:tcPr>
            <w:tcW w:w="1300" w:type="dxa"/>
            <w:tcBorders>
              <w:top w:val="single" w:color="CCCCCC" w:sz="0" w:space="0"/>
              <w:left w:val="single" w:color="CCCCCC" w:sz="0" w:space="0"/>
              <w:bottom w:val="single" w:color="CCCCCC" w:sz="0" w:space="0"/>
              <w:right w:val="single" w:color="CCCCCC" w:sz="0" w:space="0"/>
            </w:tcBorders>
            <w:shd w:val="clear" w:color="auto" w:fill="FADBD8"/>
            <w:tcMar>
              <w:top w:w="80" w:type="dxa"/>
              <w:left w:w="120" w:type="dxa"/>
              <w:bottom w:w="80" w:type="dxa"/>
              <w:right w:w="120" w:type="dxa"/>
            </w:tcMar>
            <w:vAlign w:val="center"/>
          </w:tcPr>
          <w:p w14:paraId="0E51B1EB">
            <w:pPr>
              <w:spacing w:after="0"/>
            </w:pPr>
            <w:r>
              <w:rPr>
                <w:rFonts w:ascii="Arial" w:hAnsi="Arial" w:eastAsia="Arial" w:cs="Arial"/>
                <w:b w:val="0"/>
                <w:bCs w:val="0"/>
                <w:color w:val="C0392B"/>
                <w:sz w:val="20"/>
                <w:szCs w:val="20"/>
              </w:rPr>
              <w:t>✗</w:t>
            </w:r>
          </w:p>
        </w:tc>
        <w:tc>
          <w:tcPr>
            <w:tcW w:w="1300" w:type="dxa"/>
            <w:tcBorders>
              <w:top w:val="single" w:color="CCCCCC" w:sz="0" w:space="0"/>
              <w:left w:val="single" w:color="CCCCCC" w:sz="0" w:space="0"/>
              <w:bottom w:val="single" w:color="CCCCCC" w:sz="0" w:space="0"/>
              <w:right w:val="single" w:color="CCCCCC" w:sz="0" w:space="0"/>
            </w:tcBorders>
            <w:shd w:val="clear" w:color="auto" w:fill="FADBD8"/>
            <w:tcMar>
              <w:top w:w="80" w:type="dxa"/>
              <w:left w:w="120" w:type="dxa"/>
              <w:bottom w:w="80" w:type="dxa"/>
              <w:right w:w="120" w:type="dxa"/>
            </w:tcMar>
            <w:vAlign w:val="center"/>
          </w:tcPr>
          <w:p w14:paraId="5ED4F5F8">
            <w:pPr>
              <w:spacing w:after="0"/>
            </w:pPr>
            <w:r>
              <w:rPr>
                <w:rFonts w:ascii="Arial" w:hAnsi="Arial" w:eastAsia="Arial" w:cs="Arial"/>
                <w:b w:val="0"/>
                <w:bCs w:val="0"/>
                <w:color w:val="C0392B"/>
                <w:sz w:val="20"/>
                <w:szCs w:val="20"/>
              </w:rPr>
              <w:t>✗</w:t>
            </w:r>
          </w:p>
        </w:tc>
        <w:tc>
          <w:tcPr>
            <w:tcW w:w="1300" w:type="dxa"/>
            <w:tcBorders>
              <w:top w:val="single" w:color="CCCCCC" w:sz="0" w:space="0"/>
              <w:left w:val="single" w:color="CCCCCC" w:sz="0" w:space="0"/>
              <w:bottom w:val="single" w:color="CCCCCC" w:sz="0" w:space="0"/>
              <w:right w:val="single" w:color="CCCCCC" w:sz="0" w:space="0"/>
            </w:tcBorders>
            <w:shd w:val="clear" w:color="auto" w:fill="FADBD8"/>
            <w:tcMar>
              <w:top w:w="80" w:type="dxa"/>
              <w:left w:w="120" w:type="dxa"/>
              <w:bottom w:w="80" w:type="dxa"/>
              <w:right w:w="120" w:type="dxa"/>
            </w:tcMar>
            <w:vAlign w:val="center"/>
          </w:tcPr>
          <w:p w14:paraId="03055DF3">
            <w:pPr>
              <w:spacing w:after="0"/>
            </w:pPr>
            <w:r>
              <w:rPr>
                <w:rFonts w:ascii="Arial" w:hAnsi="Arial" w:eastAsia="Arial" w:cs="Arial"/>
                <w:b w:val="0"/>
                <w:bCs w:val="0"/>
                <w:color w:val="C0392B"/>
                <w:sz w:val="20"/>
                <w:szCs w:val="20"/>
              </w:rPr>
              <w:t>✗</w:t>
            </w:r>
          </w:p>
        </w:tc>
        <w:tc>
          <w:tcPr>
            <w:tcW w:w="1300" w:type="dxa"/>
            <w:tcBorders>
              <w:top w:val="single" w:color="CCCCCC" w:sz="0" w:space="0"/>
              <w:left w:val="single" w:color="CCCCCC" w:sz="0" w:space="0"/>
              <w:bottom w:val="single" w:color="CCCCCC" w:sz="0" w:space="0"/>
              <w:right w:val="single" w:color="CCCCCC" w:sz="0" w:space="0"/>
            </w:tcBorders>
            <w:shd w:val="clear" w:color="auto" w:fill="D5F5E3"/>
            <w:tcMar>
              <w:top w:w="80" w:type="dxa"/>
              <w:left w:w="120" w:type="dxa"/>
              <w:bottom w:w="80" w:type="dxa"/>
              <w:right w:w="120" w:type="dxa"/>
            </w:tcMar>
            <w:vAlign w:val="center"/>
          </w:tcPr>
          <w:p w14:paraId="6C73182C">
            <w:pPr>
              <w:spacing w:after="0"/>
            </w:pPr>
            <w:r>
              <w:rPr>
                <w:rFonts w:ascii="Arial" w:hAnsi="Arial" w:eastAsia="Arial" w:cs="Arial"/>
                <w:b w:val="0"/>
                <w:bCs w:val="0"/>
                <w:color w:val="1E8449"/>
                <w:sz w:val="20"/>
                <w:szCs w:val="20"/>
              </w:rPr>
              <w:t>✓</w:t>
            </w:r>
          </w:p>
        </w:tc>
        <w:tc>
          <w:tcPr>
            <w:tcW w:w="1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79E97FB">
            <w:pPr>
              <w:spacing w:after="0"/>
            </w:pPr>
            <w:r>
              <w:rPr>
                <w:rFonts w:ascii="Arial" w:hAnsi="Arial" w:eastAsia="Arial" w:cs="Arial"/>
                <w:b w:val="0"/>
                <w:bCs w:val="0"/>
                <w:color w:val="333333"/>
                <w:sz w:val="20"/>
                <w:szCs w:val="20"/>
              </w:rPr>
              <w:t>Global</w:t>
            </w:r>
          </w:p>
        </w:tc>
      </w:tr>
      <w:tr w14:paraId="19AC0CAE">
        <w:tc>
          <w:tcPr>
            <w:tcW w:w="1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C6C9DB1">
            <w:pPr>
              <w:spacing w:after="0"/>
            </w:pPr>
            <w:r>
              <w:rPr>
                <w:rFonts w:ascii="Arial" w:hAnsi="Arial" w:eastAsia="Arial" w:cs="Arial"/>
                <w:b/>
                <w:bCs/>
                <w:color w:val="333333"/>
                <w:sz w:val="20"/>
                <w:szCs w:val="20"/>
              </w:rPr>
              <w:t>Teacher Tools</w:t>
            </w:r>
          </w:p>
        </w:tc>
        <w:tc>
          <w:tcPr>
            <w:tcW w:w="1300" w:type="dxa"/>
            <w:tcBorders>
              <w:top w:val="single" w:color="CCCCCC" w:sz="0" w:space="0"/>
              <w:left w:val="single" w:color="CCCCCC" w:sz="0" w:space="0"/>
              <w:bottom w:val="single" w:color="CCCCCC" w:sz="0" w:space="0"/>
              <w:right w:val="single" w:color="CCCCCC" w:sz="0" w:space="0"/>
            </w:tcBorders>
            <w:shd w:val="clear" w:color="auto" w:fill="D5F5E3"/>
            <w:tcMar>
              <w:top w:w="80" w:type="dxa"/>
              <w:left w:w="120" w:type="dxa"/>
              <w:bottom w:w="80" w:type="dxa"/>
              <w:right w:w="120" w:type="dxa"/>
            </w:tcMar>
            <w:vAlign w:val="center"/>
          </w:tcPr>
          <w:p w14:paraId="20DDD218">
            <w:pPr>
              <w:spacing w:after="0"/>
            </w:pPr>
            <w:r>
              <w:rPr>
                <w:rFonts w:ascii="Arial" w:hAnsi="Arial" w:eastAsia="Arial" w:cs="Arial"/>
                <w:b w:val="0"/>
                <w:bCs w:val="0"/>
                <w:color w:val="1E8449"/>
                <w:sz w:val="20"/>
                <w:szCs w:val="20"/>
              </w:rPr>
              <w:t>✓</w:t>
            </w:r>
          </w:p>
        </w:tc>
        <w:tc>
          <w:tcPr>
            <w:tcW w:w="1300" w:type="dxa"/>
            <w:tcBorders>
              <w:top w:val="single" w:color="CCCCCC" w:sz="0" w:space="0"/>
              <w:left w:val="single" w:color="CCCCCC" w:sz="0" w:space="0"/>
              <w:bottom w:val="single" w:color="CCCCCC" w:sz="0" w:space="0"/>
              <w:right w:val="single" w:color="CCCCCC" w:sz="0" w:space="0"/>
            </w:tcBorders>
            <w:shd w:val="clear" w:color="auto" w:fill="FADBD8"/>
            <w:tcMar>
              <w:top w:w="80" w:type="dxa"/>
              <w:left w:w="120" w:type="dxa"/>
              <w:bottom w:w="80" w:type="dxa"/>
              <w:right w:w="120" w:type="dxa"/>
            </w:tcMar>
            <w:vAlign w:val="center"/>
          </w:tcPr>
          <w:p w14:paraId="520616B3">
            <w:pPr>
              <w:spacing w:after="0"/>
            </w:pPr>
            <w:r>
              <w:rPr>
                <w:rFonts w:ascii="Arial" w:hAnsi="Arial" w:eastAsia="Arial" w:cs="Arial"/>
                <w:b w:val="0"/>
                <w:bCs w:val="0"/>
                <w:color w:val="C0392B"/>
                <w:sz w:val="20"/>
                <w:szCs w:val="20"/>
              </w:rPr>
              <w:t>✗</w:t>
            </w:r>
          </w:p>
        </w:tc>
        <w:tc>
          <w:tcPr>
            <w:tcW w:w="1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6AAEA27">
            <w:pPr>
              <w:spacing w:after="0"/>
            </w:pPr>
            <w:r>
              <w:rPr>
                <w:rFonts w:ascii="Arial" w:hAnsi="Arial" w:eastAsia="Arial" w:cs="Arial"/>
                <w:b w:val="0"/>
                <w:bCs w:val="0"/>
                <w:color w:val="333333"/>
                <w:sz w:val="20"/>
                <w:szCs w:val="20"/>
              </w:rPr>
              <w:t>Basic</w:t>
            </w:r>
          </w:p>
        </w:tc>
        <w:tc>
          <w:tcPr>
            <w:tcW w:w="1300" w:type="dxa"/>
            <w:tcBorders>
              <w:top w:val="single" w:color="CCCCCC" w:sz="0" w:space="0"/>
              <w:left w:val="single" w:color="CCCCCC" w:sz="0" w:space="0"/>
              <w:bottom w:val="single" w:color="CCCCCC" w:sz="0" w:space="0"/>
              <w:right w:val="single" w:color="CCCCCC" w:sz="0" w:space="0"/>
            </w:tcBorders>
            <w:shd w:val="clear" w:color="auto" w:fill="FADBD8"/>
            <w:tcMar>
              <w:top w:w="80" w:type="dxa"/>
              <w:left w:w="120" w:type="dxa"/>
              <w:bottom w:w="80" w:type="dxa"/>
              <w:right w:w="120" w:type="dxa"/>
            </w:tcMar>
            <w:vAlign w:val="center"/>
          </w:tcPr>
          <w:p w14:paraId="0E85AA50">
            <w:pPr>
              <w:spacing w:after="0"/>
            </w:pPr>
            <w:r>
              <w:rPr>
                <w:rFonts w:ascii="Arial" w:hAnsi="Arial" w:eastAsia="Arial" w:cs="Arial"/>
                <w:b w:val="0"/>
                <w:bCs w:val="0"/>
                <w:color w:val="C0392B"/>
                <w:sz w:val="20"/>
                <w:szCs w:val="20"/>
              </w:rPr>
              <w:t>✗</w:t>
            </w:r>
          </w:p>
        </w:tc>
        <w:tc>
          <w:tcPr>
            <w:tcW w:w="1300" w:type="dxa"/>
            <w:tcBorders>
              <w:top w:val="single" w:color="CCCCCC" w:sz="0" w:space="0"/>
              <w:left w:val="single" w:color="CCCCCC" w:sz="0" w:space="0"/>
              <w:bottom w:val="single" w:color="CCCCCC" w:sz="0" w:space="0"/>
              <w:right w:val="single" w:color="CCCCCC" w:sz="0" w:space="0"/>
            </w:tcBorders>
            <w:shd w:val="clear" w:color="auto" w:fill="D5F5E3"/>
            <w:tcMar>
              <w:top w:w="80" w:type="dxa"/>
              <w:left w:w="120" w:type="dxa"/>
              <w:bottom w:w="80" w:type="dxa"/>
              <w:right w:w="120" w:type="dxa"/>
            </w:tcMar>
            <w:vAlign w:val="center"/>
          </w:tcPr>
          <w:p w14:paraId="6E10EE76">
            <w:pPr>
              <w:spacing w:after="0"/>
            </w:pPr>
            <w:r>
              <w:rPr>
                <w:rFonts w:ascii="Arial" w:hAnsi="Arial" w:eastAsia="Arial" w:cs="Arial"/>
                <w:b w:val="0"/>
                <w:bCs w:val="0"/>
                <w:color w:val="1E8449"/>
                <w:sz w:val="20"/>
                <w:szCs w:val="20"/>
              </w:rPr>
              <w:t>✓</w:t>
            </w:r>
          </w:p>
        </w:tc>
        <w:tc>
          <w:tcPr>
            <w:tcW w:w="1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B3808C9">
            <w:pPr>
              <w:spacing w:after="0"/>
            </w:pPr>
            <w:r>
              <w:rPr>
                <w:rFonts w:ascii="Arial" w:hAnsi="Arial" w:eastAsia="Arial" w:cs="Arial"/>
                <w:b w:val="0"/>
                <w:bCs w:val="0"/>
                <w:color w:val="333333"/>
                <w:sz w:val="20"/>
                <w:szCs w:val="20"/>
              </w:rPr>
              <w:t>Pakistan</w:t>
            </w:r>
          </w:p>
        </w:tc>
      </w:tr>
      <w:tr w14:paraId="7B70F637">
        <w:tc>
          <w:tcPr>
            <w:tcW w:w="1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AAB7F30">
            <w:pPr>
              <w:spacing w:after="0"/>
            </w:pPr>
            <w:r>
              <w:rPr>
                <w:rFonts w:ascii="Arial" w:hAnsi="Arial" w:eastAsia="Arial" w:cs="Arial"/>
                <w:b/>
                <w:bCs/>
                <w:color w:val="333333"/>
                <w:sz w:val="20"/>
                <w:szCs w:val="20"/>
              </w:rPr>
              <w:t>Student Tools</w:t>
            </w:r>
          </w:p>
        </w:tc>
        <w:tc>
          <w:tcPr>
            <w:tcW w:w="1300" w:type="dxa"/>
            <w:tcBorders>
              <w:top w:val="single" w:color="CCCCCC" w:sz="0" w:space="0"/>
              <w:left w:val="single" w:color="CCCCCC" w:sz="0" w:space="0"/>
              <w:bottom w:val="single" w:color="CCCCCC" w:sz="0" w:space="0"/>
              <w:right w:val="single" w:color="CCCCCC" w:sz="0" w:space="0"/>
            </w:tcBorders>
            <w:shd w:val="clear" w:color="auto" w:fill="D5F5E3"/>
            <w:tcMar>
              <w:top w:w="80" w:type="dxa"/>
              <w:left w:w="120" w:type="dxa"/>
              <w:bottom w:w="80" w:type="dxa"/>
              <w:right w:w="120" w:type="dxa"/>
            </w:tcMar>
            <w:vAlign w:val="center"/>
          </w:tcPr>
          <w:p w14:paraId="7238C27F">
            <w:pPr>
              <w:spacing w:after="0"/>
            </w:pPr>
            <w:r>
              <w:rPr>
                <w:rFonts w:ascii="Arial" w:hAnsi="Arial" w:eastAsia="Arial" w:cs="Arial"/>
                <w:b w:val="0"/>
                <w:bCs w:val="0"/>
                <w:color w:val="1E8449"/>
                <w:sz w:val="20"/>
                <w:szCs w:val="20"/>
              </w:rPr>
              <w:t>✓</w:t>
            </w:r>
          </w:p>
        </w:tc>
        <w:tc>
          <w:tcPr>
            <w:tcW w:w="1300" w:type="dxa"/>
            <w:tcBorders>
              <w:top w:val="single" w:color="CCCCCC" w:sz="0" w:space="0"/>
              <w:left w:val="single" w:color="CCCCCC" w:sz="0" w:space="0"/>
              <w:bottom w:val="single" w:color="CCCCCC" w:sz="0" w:space="0"/>
              <w:right w:val="single" w:color="CCCCCC" w:sz="0" w:space="0"/>
            </w:tcBorders>
            <w:shd w:val="clear" w:color="auto" w:fill="D5F5E3"/>
            <w:tcMar>
              <w:top w:w="80" w:type="dxa"/>
              <w:left w:w="120" w:type="dxa"/>
              <w:bottom w:w="80" w:type="dxa"/>
              <w:right w:w="120" w:type="dxa"/>
            </w:tcMar>
            <w:vAlign w:val="center"/>
          </w:tcPr>
          <w:p w14:paraId="4293DEE8">
            <w:pPr>
              <w:spacing w:after="0"/>
            </w:pPr>
            <w:r>
              <w:rPr>
                <w:rFonts w:ascii="Arial" w:hAnsi="Arial" w:eastAsia="Arial" w:cs="Arial"/>
                <w:b w:val="0"/>
                <w:bCs w:val="0"/>
                <w:color w:val="1E8449"/>
                <w:sz w:val="20"/>
                <w:szCs w:val="20"/>
              </w:rPr>
              <w:t>✓</w:t>
            </w:r>
          </w:p>
        </w:tc>
        <w:tc>
          <w:tcPr>
            <w:tcW w:w="1300" w:type="dxa"/>
            <w:tcBorders>
              <w:top w:val="single" w:color="CCCCCC" w:sz="0" w:space="0"/>
              <w:left w:val="single" w:color="CCCCCC" w:sz="0" w:space="0"/>
              <w:bottom w:val="single" w:color="CCCCCC" w:sz="0" w:space="0"/>
              <w:right w:val="single" w:color="CCCCCC" w:sz="0" w:space="0"/>
            </w:tcBorders>
            <w:shd w:val="clear" w:color="auto" w:fill="D5F5E3"/>
            <w:tcMar>
              <w:top w:w="80" w:type="dxa"/>
              <w:left w:w="120" w:type="dxa"/>
              <w:bottom w:w="80" w:type="dxa"/>
              <w:right w:w="120" w:type="dxa"/>
            </w:tcMar>
            <w:vAlign w:val="center"/>
          </w:tcPr>
          <w:p w14:paraId="4A8E54FE">
            <w:pPr>
              <w:spacing w:after="0"/>
            </w:pPr>
            <w:r>
              <w:rPr>
                <w:rFonts w:ascii="Arial" w:hAnsi="Arial" w:eastAsia="Arial" w:cs="Arial"/>
                <w:b w:val="0"/>
                <w:bCs w:val="0"/>
                <w:color w:val="1E8449"/>
                <w:sz w:val="20"/>
                <w:szCs w:val="20"/>
              </w:rPr>
              <w:t>✓</w:t>
            </w:r>
          </w:p>
        </w:tc>
        <w:tc>
          <w:tcPr>
            <w:tcW w:w="1300" w:type="dxa"/>
            <w:tcBorders>
              <w:top w:val="single" w:color="CCCCCC" w:sz="0" w:space="0"/>
              <w:left w:val="single" w:color="CCCCCC" w:sz="0" w:space="0"/>
              <w:bottom w:val="single" w:color="CCCCCC" w:sz="0" w:space="0"/>
              <w:right w:val="single" w:color="CCCCCC" w:sz="0" w:space="0"/>
            </w:tcBorders>
            <w:shd w:val="clear" w:color="auto" w:fill="FADBD8"/>
            <w:tcMar>
              <w:top w:w="80" w:type="dxa"/>
              <w:left w:w="120" w:type="dxa"/>
              <w:bottom w:w="80" w:type="dxa"/>
              <w:right w:w="120" w:type="dxa"/>
            </w:tcMar>
            <w:vAlign w:val="center"/>
          </w:tcPr>
          <w:p w14:paraId="4F0EE943">
            <w:pPr>
              <w:spacing w:after="0"/>
            </w:pPr>
            <w:r>
              <w:rPr>
                <w:rFonts w:ascii="Arial" w:hAnsi="Arial" w:eastAsia="Arial" w:cs="Arial"/>
                <w:b w:val="0"/>
                <w:bCs w:val="0"/>
                <w:color w:val="C0392B"/>
                <w:sz w:val="20"/>
                <w:szCs w:val="20"/>
              </w:rPr>
              <w:t>✗</w:t>
            </w:r>
          </w:p>
        </w:tc>
        <w:tc>
          <w:tcPr>
            <w:tcW w:w="1300" w:type="dxa"/>
            <w:tcBorders>
              <w:top w:val="single" w:color="CCCCCC" w:sz="0" w:space="0"/>
              <w:left w:val="single" w:color="CCCCCC" w:sz="0" w:space="0"/>
              <w:bottom w:val="single" w:color="CCCCCC" w:sz="0" w:space="0"/>
              <w:right w:val="single" w:color="CCCCCC" w:sz="0" w:space="0"/>
            </w:tcBorders>
            <w:shd w:val="clear" w:color="auto" w:fill="D5F5E3"/>
            <w:tcMar>
              <w:top w:w="80" w:type="dxa"/>
              <w:left w:w="120" w:type="dxa"/>
              <w:bottom w:w="80" w:type="dxa"/>
              <w:right w:w="120" w:type="dxa"/>
            </w:tcMar>
            <w:vAlign w:val="center"/>
          </w:tcPr>
          <w:p w14:paraId="2D50C995">
            <w:pPr>
              <w:spacing w:after="0"/>
            </w:pPr>
            <w:r>
              <w:rPr>
                <w:rFonts w:ascii="Arial" w:hAnsi="Arial" w:eastAsia="Arial" w:cs="Arial"/>
                <w:b w:val="0"/>
                <w:bCs w:val="0"/>
                <w:color w:val="1E8449"/>
                <w:sz w:val="20"/>
                <w:szCs w:val="20"/>
              </w:rPr>
              <w:t>✓</w:t>
            </w:r>
          </w:p>
        </w:tc>
        <w:tc>
          <w:tcPr>
            <w:tcW w:w="1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B7E540F">
            <w:pPr>
              <w:spacing w:after="0"/>
            </w:pPr>
            <w:r>
              <w:rPr>
                <w:rFonts w:ascii="Arial" w:hAnsi="Arial" w:eastAsia="Arial" w:cs="Arial"/>
                <w:b w:val="0"/>
                <w:bCs w:val="0"/>
                <w:color w:val="333333"/>
                <w:sz w:val="20"/>
                <w:szCs w:val="20"/>
              </w:rPr>
              <w:t>—</w:t>
            </w:r>
          </w:p>
        </w:tc>
      </w:tr>
      <w:tr w14:paraId="7A8FED59">
        <w:tc>
          <w:tcPr>
            <w:tcW w:w="1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C9E3587">
            <w:pPr>
              <w:spacing w:after="0"/>
            </w:pPr>
            <w:r>
              <w:rPr>
                <w:rFonts w:ascii="Arial" w:hAnsi="Arial" w:eastAsia="Arial" w:cs="Arial"/>
                <w:b/>
                <w:bCs/>
                <w:color w:val="333333"/>
                <w:sz w:val="20"/>
                <w:szCs w:val="20"/>
              </w:rPr>
              <w:t>Attendance/HR</w:t>
            </w:r>
          </w:p>
        </w:tc>
        <w:tc>
          <w:tcPr>
            <w:tcW w:w="1300" w:type="dxa"/>
            <w:tcBorders>
              <w:top w:val="single" w:color="CCCCCC" w:sz="0" w:space="0"/>
              <w:left w:val="single" w:color="CCCCCC" w:sz="0" w:space="0"/>
              <w:bottom w:val="single" w:color="CCCCCC" w:sz="0" w:space="0"/>
              <w:right w:val="single" w:color="CCCCCC" w:sz="0" w:space="0"/>
            </w:tcBorders>
            <w:shd w:val="clear" w:color="auto" w:fill="FADBD8"/>
            <w:tcMar>
              <w:top w:w="80" w:type="dxa"/>
              <w:left w:w="120" w:type="dxa"/>
              <w:bottom w:w="80" w:type="dxa"/>
              <w:right w:w="120" w:type="dxa"/>
            </w:tcMar>
            <w:vAlign w:val="center"/>
          </w:tcPr>
          <w:p w14:paraId="0913FA70">
            <w:pPr>
              <w:spacing w:after="0"/>
            </w:pPr>
            <w:r>
              <w:rPr>
                <w:rFonts w:ascii="Arial" w:hAnsi="Arial" w:eastAsia="Arial" w:cs="Arial"/>
                <w:b w:val="0"/>
                <w:bCs w:val="0"/>
                <w:color w:val="C0392B"/>
                <w:sz w:val="20"/>
                <w:szCs w:val="20"/>
              </w:rPr>
              <w:t>✗</w:t>
            </w:r>
          </w:p>
        </w:tc>
        <w:tc>
          <w:tcPr>
            <w:tcW w:w="1300" w:type="dxa"/>
            <w:tcBorders>
              <w:top w:val="single" w:color="CCCCCC" w:sz="0" w:space="0"/>
              <w:left w:val="single" w:color="CCCCCC" w:sz="0" w:space="0"/>
              <w:bottom w:val="single" w:color="CCCCCC" w:sz="0" w:space="0"/>
              <w:right w:val="single" w:color="CCCCCC" w:sz="0" w:space="0"/>
            </w:tcBorders>
            <w:shd w:val="clear" w:color="auto" w:fill="FADBD8"/>
            <w:tcMar>
              <w:top w:w="80" w:type="dxa"/>
              <w:left w:w="120" w:type="dxa"/>
              <w:bottom w:w="80" w:type="dxa"/>
              <w:right w:w="120" w:type="dxa"/>
            </w:tcMar>
            <w:vAlign w:val="center"/>
          </w:tcPr>
          <w:p w14:paraId="6A1ED126">
            <w:pPr>
              <w:spacing w:after="0"/>
            </w:pPr>
            <w:r>
              <w:rPr>
                <w:rFonts w:ascii="Arial" w:hAnsi="Arial" w:eastAsia="Arial" w:cs="Arial"/>
                <w:b w:val="0"/>
                <w:bCs w:val="0"/>
                <w:color w:val="C0392B"/>
                <w:sz w:val="20"/>
                <w:szCs w:val="20"/>
              </w:rPr>
              <w:t>✗</w:t>
            </w:r>
          </w:p>
        </w:tc>
        <w:tc>
          <w:tcPr>
            <w:tcW w:w="1300" w:type="dxa"/>
            <w:tcBorders>
              <w:top w:val="single" w:color="CCCCCC" w:sz="0" w:space="0"/>
              <w:left w:val="single" w:color="CCCCCC" w:sz="0" w:space="0"/>
              <w:bottom w:val="single" w:color="CCCCCC" w:sz="0" w:space="0"/>
              <w:right w:val="single" w:color="CCCCCC" w:sz="0" w:space="0"/>
            </w:tcBorders>
            <w:shd w:val="clear" w:color="auto" w:fill="FADBD8"/>
            <w:tcMar>
              <w:top w:w="80" w:type="dxa"/>
              <w:left w:w="120" w:type="dxa"/>
              <w:bottom w:w="80" w:type="dxa"/>
              <w:right w:w="120" w:type="dxa"/>
            </w:tcMar>
            <w:vAlign w:val="center"/>
          </w:tcPr>
          <w:p w14:paraId="24CE7644">
            <w:pPr>
              <w:spacing w:after="0"/>
            </w:pPr>
            <w:r>
              <w:rPr>
                <w:rFonts w:ascii="Arial" w:hAnsi="Arial" w:eastAsia="Arial" w:cs="Arial"/>
                <w:b w:val="0"/>
                <w:bCs w:val="0"/>
                <w:color w:val="C0392B"/>
                <w:sz w:val="20"/>
                <w:szCs w:val="20"/>
              </w:rPr>
              <w:t>✗</w:t>
            </w:r>
          </w:p>
        </w:tc>
        <w:tc>
          <w:tcPr>
            <w:tcW w:w="1300" w:type="dxa"/>
            <w:tcBorders>
              <w:top w:val="single" w:color="CCCCCC" w:sz="0" w:space="0"/>
              <w:left w:val="single" w:color="CCCCCC" w:sz="0" w:space="0"/>
              <w:bottom w:val="single" w:color="CCCCCC" w:sz="0" w:space="0"/>
              <w:right w:val="single" w:color="CCCCCC" w:sz="0" w:space="0"/>
            </w:tcBorders>
            <w:shd w:val="clear" w:color="auto" w:fill="D5F5E3"/>
            <w:tcMar>
              <w:top w:w="80" w:type="dxa"/>
              <w:left w:w="120" w:type="dxa"/>
              <w:bottom w:w="80" w:type="dxa"/>
              <w:right w:w="120" w:type="dxa"/>
            </w:tcMar>
            <w:vAlign w:val="center"/>
          </w:tcPr>
          <w:p w14:paraId="26E408F1">
            <w:pPr>
              <w:spacing w:after="0"/>
            </w:pPr>
            <w:r>
              <w:rPr>
                <w:rFonts w:ascii="Arial" w:hAnsi="Arial" w:eastAsia="Arial" w:cs="Arial"/>
                <w:b w:val="0"/>
                <w:bCs w:val="0"/>
                <w:color w:val="1E8449"/>
                <w:sz w:val="20"/>
                <w:szCs w:val="20"/>
              </w:rPr>
              <w:t>✓</w:t>
            </w:r>
          </w:p>
        </w:tc>
        <w:tc>
          <w:tcPr>
            <w:tcW w:w="1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092C67F">
            <w:pPr>
              <w:spacing w:after="0"/>
            </w:pPr>
            <w:r>
              <w:rPr>
                <w:rFonts w:ascii="Arial" w:hAnsi="Arial" w:eastAsia="Arial" w:cs="Arial"/>
                <w:b w:val="0"/>
                <w:bCs w:val="0"/>
                <w:color w:val="333333"/>
                <w:sz w:val="20"/>
                <w:szCs w:val="20"/>
              </w:rPr>
              <w:t>Planned</w:t>
            </w:r>
          </w:p>
        </w:tc>
        <w:tc>
          <w:tcPr>
            <w:tcW w:w="1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BE8F604">
            <w:pPr>
              <w:spacing w:after="0"/>
            </w:pPr>
            <w:r>
              <w:rPr>
                <w:rFonts w:ascii="Arial" w:hAnsi="Arial" w:eastAsia="Arial" w:cs="Arial"/>
                <w:b w:val="0"/>
                <w:bCs w:val="0"/>
                <w:color w:val="333333"/>
                <w:sz w:val="20"/>
                <w:szCs w:val="20"/>
              </w:rPr>
              <w:t>—</w:t>
            </w:r>
          </w:p>
        </w:tc>
      </w:tr>
      <w:tr w14:paraId="3690160B">
        <w:tc>
          <w:tcPr>
            <w:tcW w:w="1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722C8D2">
            <w:pPr>
              <w:spacing w:after="0"/>
            </w:pPr>
            <w:r>
              <w:rPr>
                <w:rFonts w:ascii="Arial" w:hAnsi="Arial" w:eastAsia="Arial" w:cs="Arial"/>
                <w:b/>
                <w:bCs/>
                <w:color w:val="333333"/>
                <w:sz w:val="20"/>
                <w:szCs w:val="20"/>
              </w:rPr>
              <w:t>Fee Management</w:t>
            </w:r>
          </w:p>
        </w:tc>
        <w:tc>
          <w:tcPr>
            <w:tcW w:w="1300" w:type="dxa"/>
            <w:tcBorders>
              <w:top w:val="single" w:color="CCCCCC" w:sz="0" w:space="0"/>
              <w:left w:val="single" w:color="CCCCCC" w:sz="0" w:space="0"/>
              <w:bottom w:val="single" w:color="CCCCCC" w:sz="0" w:space="0"/>
              <w:right w:val="single" w:color="CCCCCC" w:sz="0" w:space="0"/>
            </w:tcBorders>
            <w:shd w:val="clear" w:color="auto" w:fill="FADBD8"/>
            <w:tcMar>
              <w:top w:w="80" w:type="dxa"/>
              <w:left w:w="120" w:type="dxa"/>
              <w:bottom w:w="80" w:type="dxa"/>
              <w:right w:w="120" w:type="dxa"/>
            </w:tcMar>
            <w:vAlign w:val="center"/>
          </w:tcPr>
          <w:p w14:paraId="6510B82A">
            <w:pPr>
              <w:spacing w:after="0"/>
            </w:pPr>
            <w:r>
              <w:rPr>
                <w:rFonts w:ascii="Arial" w:hAnsi="Arial" w:eastAsia="Arial" w:cs="Arial"/>
                <w:b w:val="0"/>
                <w:bCs w:val="0"/>
                <w:color w:val="C0392B"/>
                <w:sz w:val="20"/>
                <w:szCs w:val="20"/>
              </w:rPr>
              <w:t>✗</w:t>
            </w:r>
          </w:p>
        </w:tc>
        <w:tc>
          <w:tcPr>
            <w:tcW w:w="1300" w:type="dxa"/>
            <w:tcBorders>
              <w:top w:val="single" w:color="CCCCCC" w:sz="0" w:space="0"/>
              <w:left w:val="single" w:color="CCCCCC" w:sz="0" w:space="0"/>
              <w:bottom w:val="single" w:color="CCCCCC" w:sz="0" w:space="0"/>
              <w:right w:val="single" w:color="CCCCCC" w:sz="0" w:space="0"/>
            </w:tcBorders>
            <w:shd w:val="clear" w:color="auto" w:fill="FADBD8"/>
            <w:tcMar>
              <w:top w:w="80" w:type="dxa"/>
              <w:left w:w="120" w:type="dxa"/>
              <w:bottom w:w="80" w:type="dxa"/>
              <w:right w:w="120" w:type="dxa"/>
            </w:tcMar>
            <w:vAlign w:val="center"/>
          </w:tcPr>
          <w:p w14:paraId="2701E654">
            <w:pPr>
              <w:spacing w:after="0"/>
            </w:pPr>
            <w:r>
              <w:rPr>
                <w:rFonts w:ascii="Arial" w:hAnsi="Arial" w:eastAsia="Arial" w:cs="Arial"/>
                <w:b w:val="0"/>
                <w:bCs w:val="0"/>
                <w:color w:val="C0392B"/>
                <w:sz w:val="20"/>
                <w:szCs w:val="20"/>
              </w:rPr>
              <w:t>✗</w:t>
            </w:r>
          </w:p>
        </w:tc>
        <w:tc>
          <w:tcPr>
            <w:tcW w:w="1300" w:type="dxa"/>
            <w:tcBorders>
              <w:top w:val="single" w:color="CCCCCC" w:sz="0" w:space="0"/>
              <w:left w:val="single" w:color="CCCCCC" w:sz="0" w:space="0"/>
              <w:bottom w:val="single" w:color="CCCCCC" w:sz="0" w:space="0"/>
              <w:right w:val="single" w:color="CCCCCC" w:sz="0" w:space="0"/>
            </w:tcBorders>
            <w:shd w:val="clear" w:color="auto" w:fill="FADBD8"/>
            <w:tcMar>
              <w:top w:w="80" w:type="dxa"/>
              <w:left w:w="120" w:type="dxa"/>
              <w:bottom w:w="80" w:type="dxa"/>
              <w:right w:w="120" w:type="dxa"/>
            </w:tcMar>
            <w:vAlign w:val="center"/>
          </w:tcPr>
          <w:p w14:paraId="39F85BEB">
            <w:pPr>
              <w:spacing w:after="0"/>
            </w:pPr>
            <w:r>
              <w:rPr>
                <w:rFonts w:ascii="Arial" w:hAnsi="Arial" w:eastAsia="Arial" w:cs="Arial"/>
                <w:b w:val="0"/>
                <w:bCs w:val="0"/>
                <w:color w:val="C0392B"/>
                <w:sz w:val="20"/>
                <w:szCs w:val="20"/>
              </w:rPr>
              <w:t>✗</w:t>
            </w:r>
          </w:p>
        </w:tc>
        <w:tc>
          <w:tcPr>
            <w:tcW w:w="1300" w:type="dxa"/>
            <w:tcBorders>
              <w:top w:val="single" w:color="CCCCCC" w:sz="0" w:space="0"/>
              <w:left w:val="single" w:color="CCCCCC" w:sz="0" w:space="0"/>
              <w:bottom w:val="single" w:color="CCCCCC" w:sz="0" w:space="0"/>
              <w:right w:val="single" w:color="CCCCCC" w:sz="0" w:space="0"/>
            </w:tcBorders>
            <w:shd w:val="clear" w:color="auto" w:fill="D5F5E3"/>
            <w:tcMar>
              <w:top w:w="80" w:type="dxa"/>
              <w:left w:w="120" w:type="dxa"/>
              <w:bottom w:w="80" w:type="dxa"/>
              <w:right w:w="120" w:type="dxa"/>
            </w:tcMar>
            <w:vAlign w:val="center"/>
          </w:tcPr>
          <w:p w14:paraId="765A1E68">
            <w:pPr>
              <w:spacing w:after="0"/>
            </w:pPr>
            <w:r>
              <w:rPr>
                <w:rFonts w:ascii="Arial" w:hAnsi="Arial" w:eastAsia="Arial" w:cs="Arial"/>
                <w:b w:val="0"/>
                <w:bCs w:val="0"/>
                <w:color w:val="1E8449"/>
                <w:sz w:val="20"/>
                <w:szCs w:val="20"/>
              </w:rPr>
              <w:t>✓</w:t>
            </w:r>
          </w:p>
        </w:tc>
        <w:tc>
          <w:tcPr>
            <w:tcW w:w="1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EA73BC6">
            <w:pPr>
              <w:spacing w:after="0"/>
            </w:pPr>
            <w:r>
              <w:rPr>
                <w:rFonts w:ascii="Arial" w:hAnsi="Arial" w:eastAsia="Arial" w:cs="Arial"/>
                <w:b w:val="0"/>
                <w:bCs w:val="0"/>
                <w:color w:val="333333"/>
                <w:sz w:val="20"/>
                <w:szCs w:val="20"/>
              </w:rPr>
              <w:t>Planned</w:t>
            </w:r>
          </w:p>
        </w:tc>
        <w:tc>
          <w:tcPr>
            <w:tcW w:w="1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EB4F5F0">
            <w:pPr>
              <w:spacing w:after="0"/>
            </w:pPr>
            <w:r>
              <w:rPr>
                <w:rFonts w:ascii="Arial" w:hAnsi="Arial" w:eastAsia="Arial" w:cs="Arial"/>
                <w:b w:val="0"/>
                <w:bCs w:val="0"/>
                <w:color w:val="333333"/>
                <w:sz w:val="20"/>
                <w:szCs w:val="20"/>
              </w:rPr>
              <w:t>—</w:t>
            </w:r>
          </w:p>
        </w:tc>
      </w:tr>
      <w:tr w14:paraId="0A52D39F">
        <w:tc>
          <w:tcPr>
            <w:tcW w:w="1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70F5B19">
            <w:pPr>
              <w:spacing w:after="0"/>
            </w:pPr>
            <w:r>
              <w:rPr>
                <w:rFonts w:ascii="Arial" w:hAnsi="Arial" w:eastAsia="Arial" w:cs="Arial"/>
                <w:b/>
                <w:bCs/>
                <w:color w:val="333333"/>
                <w:sz w:val="20"/>
                <w:szCs w:val="20"/>
              </w:rPr>
              <w:t>Grading/Reports</w:t>
            </w:r>
          </w:p>
        </w:tc>
        <w:tc>
          <w:tcPr>
            <w:tcW w:w="1300" w:type="dxa"/>
            <w:tcBorders>
              <w:top w:val="single" w:color="CCCCCC" w:sz="0" w:space="0"/>
              <w:left w:val="single" w:color="CCCCCC" w:sz="0" w:space="0"/>
              <w:bottom w:val="single" w:color="CCCCCC" w:sz="0" w:space="0"/>
              <w:right w:val="single" w:color="CCCCCC" w:sz="0" w:space="0"/>
            </w:tcBorders>
            <w:shd w:val="clear" w:color="auto" w:fill="FADBD8"/>
            <w:tcMar>
              <w:top w:w="80" w:type="dxa"/>
              <w:left w:w="120" w:type="dxa"/>
              <w:bottom w:w="80" w:type="dxa"/>
              <w:right w:w="120" w:type="dxa"/>
            </w:tcMar>
            <w:vAlign w:val="center"/>
          </w:tcPr>
          <w:p w14:paraId="3EDA1F1A">
            <w:pPr>
              <w:spacing w:after="0"/>
            </w:pPr>
            <w:r>
              <w:rPr>
                <w:rFonts w:ascii="Arial" w:hAnsi="Arial" w:eastAsia="Arial" w:cs="Arial"/>
                <w:b w:val="0"/>
                <w:bCs w:val="0"/>
                <w:color w:val="C0392B"/>
                <w:sz w:val="20"/>
                <w:szCs w:val="20"/>
              </w:rPr>
              <w:t>✗</w:t>
            </w:r>
          </w:p>
        </w:tc>
        <w:tc>
          <w:tcPr>
            <w:tcW w:w="1300" w:type="dxa"/>
            <w:tcBorders>
              <w:top w:val="single" w:color="CCCCCC" w:sz="0" w:space="0"/>
              <w:left w:val="single" w:color="CCCCCC" w:sz="0" w:space="0"/>
              <w:bottom w:val="single" w:color="CCCCCC" w:sz="0" w:space="0"/>
              <w:right w:val="single" w:color="CCCCCC" w:sz="0" w:space="0"/>
            </w:tcBorders>
            <w:shd w:val="clear" w:color="auto" w:fill="FADBD8"/>
            <w:tcMar>
              <w:top w:w="80" w:type="dxa"/>
              <w:left w:w="120" w:type="dxa"/>
              <w:bottom w:w="80" w:type="dxa"/>
              <w:right w:w="120" w:type="dxa"/>
            </w:tcMar>
            <w:vAlign w:val="center"/>
          </w:tcPr>
          <w:p w14:paraId="382F1C42">
            <w:pPr>
              <w:spacing w:after="0"/>
            </w:pPr>
            <w:r>
              <w:rPr>
                <w:rFonts w:ascii="Arial" w:hAnsi="Arial" w:eastAsia="Arial" w:cs="Arial"/>
                <w:b w:val="0"/>
                <w:bCs w:val="0"/>
                <w:color w:val="C0392B"/>
                <w:sz w:val="20"/>
                <w:szCs w:val="20"/>
              </w:rPr>
              <w:t>✗</w:t>
            </w:r>
          </w:p>
        </w:tc>
        <w:tc>
          <w:tcPr>
            <w:tcW w:w="1300" w:type="dxa"/>
            <w:tcBorders>
              <w:top w:val="single" w:color="CCCCCC" w:sz="0" w:space="0"/>
              <w:left w:val="single" w:color="CCCCCC" w:sz="0" w:space="0"/>
              <w:bottom w:val="single" w:color="CCCCCC" w:sz="0" w:space="0"/>
              <w:right w:val="single" w:color="CCCCCC" w:sz="0" w:space="0"/>
            </w:tcBorders>
            <w:shd w:val="clear" w:color="auto" w:fill="FADBD8"/>
            <w:tcMar>
              <w:top w:w="80" w:type="dxa"/>
              <w:left w:w="120" w:type="dxa"/>
              <w:bottom w:w="80" w:type="dxa"/>
              <w:right w:w="120" w:type="dxa"/>
            </w:tcMar>
            <w:vAlign w:val="center"/>
          </w:tcPr>
          <w:p w14:paraId="46445013">
            <w:pPr>
              <w:spacing w:after="0"/>
            </w:pPr>
            <w:r>
              <w:rPr>
                <w:rFonts w:ascii="Arial" w:hAnsi="Arial" w:eastAsia="Arial" w:cs="Arial"/>
                <w:b w:val="0"/>
                <w:bCs w:val="0"/>
                <w:color w:val="C0392B"/>
                <w:sz w:val="20"/>
                <w:szCs w:val="20"/>
              </w:rPr>
              <w:t>✗</w:t>
            </w:r>
          </w:p>
        </w:tc>
        <w:tc>
          <w:tcPr>
            <w:tcW w:w="1300" w:type="dxa"/>
            <w:tcBorders>
              <w:top w:val="single" w:color="CCCCCC" w:sz="0" w:space="0"/>
              <w:left w:val="single" w:color="CCCCCC" w:sz="0" w:space="0"/>
              <w:bottom w:val="single" w:color="CCCCCC" w:sz="0" w:space="0"/>
              <w:right w:val="single" w:color="CCCCCC" w:sz="0" w:space="0"/>
            </w:tcBorders>
            <w:shd w:val="clear" w:color="auto" w:fill="D5F5E3"/>
            <w:tcMar>
              <w:top w:w="80" w:type="dxa"/>
              <w:left w:w="120" w:type="dxa"/>
              <w:bottom w:w="80" w:type="dxa"/>
              <w:right w:w="120" w:type="dxa"/>
            </w:tcMar>
            <w:vAlign w:val="center"/>
          </w:tcPr>
          <w:p w14:paraId="169BFDCC">
            <w:pPr>
              <w:spacing w:after="0"/>
            </w:pPr>
            <w:r>
              <w:rPr>
                <w:rFonts w:ascii="Arial" w:hAnsi="Arial" w:eastAsia="Arial" w:cs="Arial"/>
                <w:b w:val="0"/>
                <w:bCs w:val="0"/>
                <w:color w:val="1E8449"/>
                <w:sz w:val="20"/>
                <w:szCs w:val="20"/>
              </w:rPr>
              <w:t>✓</w:t>
            </w:r>
          </w:p>
        </w:tc>
        <w:tc>
          <w:tcPr>
            <w:tcW w:w="1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3D49DF2">
            <w:pPr>
              <w:spacing w:after="0"/>
            </w:pPr>
            <w:r>
              <w:rPr>
                <w:rFonts w:ascii="Arial" w:hAnsi="Arial" w:eastAsia="Arial" w:cs="Arial"/>
                <w:b w:val="0"/>
                <w:bCs w:val="0"/>
                <w:color w:val="333333"/>
                <w:sz w:val="20"/>
                <w:szCs w:val="20"/>
              </w:rPr>
              <w:t>Planned</w:t>
            </w:r>
          </w:p>
        </w:tc>
        <w:tc>
          <w:tcPr>
            <w:tcW w:w="1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6D36CB8">
            <w:pPr>
              <w:spacing w:after="0"/>
            </w:pPr>
            <w:r>
              <w:rPr>
                <w:rFonts w:ascii="Arial" w:hAnsi="Arial" w:eastAsia="Arial" w:cs="Arial"/>
                <w:b w:val="0"/>
                <w:bCs w:val="0"/>
                <w:color w:val="333333"/>
                <w:sz w:val="20"/>
                <w:szCs w:val="20"/>
              </w:rPr>
              <w:t>—</w:t>
            </w:r>
          </w:p>
        </w:tc>
      </w:tr>
      <w:tr w14:paraId="12E19247">
        <w:tc>
          <w:tcPr>
            <w:tcW w:w="1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6C25EE8">
            <w:pPr>
              <w:spacing w:after="0"/>
            </w:pPr>
            <w:r>
              <w:rPr>
                <w:rFonts w:ascii="Arial" w:hAnsi="Arial" w:eastAsia="Arial" w:cs="Arial"/>
                <w:b/>
                <w:bCs/>
                <w:color w:val="333333"/>
                <w:sz w:val="20"/>
                <w:szCs w:val="20"/>
              </w:rPr>
              <w:t>B2G Ready</w:t>
            </w:r>
          </w:p>
        </w:tc>
        <w:tc>
          <w:tcPr>
            <w:tcW w:w="1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8967AE1">
            <w:pPr>
              <w:spacing w:after="0"/>
            </w:pPr>
            <w:r>
              <w:rPr>
                <w:rFonts w:ascii="Arial" w:hAnsi="Arial" w:eastAsia="Arial" w:cs="Arial"/>
                <w:b w:val="0"/>
                <w:bCs w:val="0"/>
                <w:color w:val="333333"/>
                <w:sz w:val="20"/>
                <w:szCs w:val="20"/>
              </w:rPr>
              <w:t>Partial</w:t>
            </w:r>
          </w:p>
        </w:tc>
        <w:tc>
          <w:tcPr>
            <w:tcW w:w="1300" w:type="dxa"/>
            <w:tcBorders>
              <w:top w:val="single" w:color="CCCCCC" w:sz="0" w:space="0"/>
              <w:left w:val="single" w:color="CCCCCC" w:sz="0" w:space="0"/>
              <w:bottom w:val="single" w:color="CCCCCC" w:sz="0" w:space="0"/>
              <w:right w:val="single" w:color="CCCCCC" w:sz="0" w:space="0"/>
            </w:tcBorders>
            <w:shd w:val="clear" w:color="auto" w:fill="FADBD8"/>
            <w:tcMar>
              <w:top w:w="80" w:type="dxa"/>
              <w:left w:w="120" w:type="dxa"/>
              <w:bottom w:w="80" w:type="dxa"/>
              <w:right w:w="120" w:type="dxa"/>
            </w:tcMar>
            <w:vAlign w:val="center"/>
          </w:tcPr>
          <w:p w14:paraId="11F17119">
            <w:pPr>
              <w:spacing w:after="0"/>
            </w:pPr>
            <w:r>
              <w:rPr>
                <w:rFonts w:ascii="Arial" w:hAnsi="Arial" w:eastAsia="Arial" w:cs="Arial"/>
                <w:b w:val="0"/>
                <w:bCs w:val="0"/>
                <w:color w:val="C0392B"/>
                <w:sz w:val="20"/>
                <w:szCs w:val="20"/>
              </w:rPr>
              <w:t>✗</w:t>
            </w:r>
          </w:p>
        </w:tc>
        <w:tc>
          <w:tcPr>
            <w:tcW w:w="1300" w:type="dxa"/>
            <w:tcBorders>
              <w:top w:val="single" w:color="CCCCCC" w:sz="0" w:space="0"/>
              <w:left w:val="single" w:color="CCCCCC" w:sz="0" w:space="0"/>
              <w:bottom w:val="single" w:color="CCCCCC" w:sz="0" w:space="0"/>
              <w:right w:val="single" w:color="CCCCCC" w:sz="0" w:space="0"/>
            </w:tcBorders>
            <w:shd w:val="clear" w:color="auto" w:fill="D5F5E3"/>
            <w:tcMar>
              <w:top w:w="80" w:type="dxa"/>
              <w:left w:w="120" w:type="dxa"/>
              <w:bottom w:w="80" w:type="dxa"/>
              <w:right w:w="120" w:type="dxa"/>
            </w:tcMar>
            <w:vAlign w:val="center"/>
          </w:tcPr>
          <w:p w14:paraId="43BC0BBB">
            <w:pPr>
              <w:spacing w:after="0"/>
            </w:pPr>
            <w:r>
              <w:rPr>
                <w:rFonts w:ascii="Arial" w:hAnsi="Arial" w:eastAsia="Arial" w:cs="Arial"/>
                <w:b w:val="0"/>
                <w:bCs w:val="0"/>
                <w:color w:val="1E8449"/>
                <w:sz w:val="20"/>
                <w:szCs w:val="20"/>
              </w:rPr>
              <w:t>✓</w:t>
            </w:r>
          </w:p>
        </w:tc>
        <w:tc>
          <w:tcPr>
            <w:tcW w:w="1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A9F8AA7">
            <w:pPr>
              <w:spacing w:after="0"/>
            </w:pPr>
            <w:r>
              <w:rPr>
                <w:rFonts w:ascii="Arial" w:hAnsi="Arial" w:eastAsia="Arial" w:cs="Arial"/>
                <w:b w:val="0"/>
                <w:bCs w:val="0"/>
                <w:color w:val="333333"/>
                <w:sz w:val="20"/>
                <w:szCs w:val="20"/>
              </w:rPr>
              <w:t>Some</w:t>
            </w:r>
          </w:p>
        </w:tc>
        <w:tc>
          <w:tcPr>
            <w:tcW w:w="1300" w:type="dxa"/>
            <w:tcBorders>
              <w:top w:val="single" w:color="CCCCCC" w:sz="0" w:space="0"/>
              <w:left w:val="single" w:color="CCCCCC" w:sz="0" w:space="0"/>
              <w:bottom w:val="single" w:color="CCCCCC" w:sz="0" w:space="0"/>
              <w:right w:val="single" w:color="CCCCCC" w:sz="0" w:space="0"/>
            </w:tcBorders>
            <w:shd w:val="clear" w:color="auto" w:fill="D5F5E3"/>
            <w:tcMar>
              <w:top w:w="80" w:type="dxa"/>
              <w:left w:w="120" w:type="dxa"/>
              <w:bottom w:w="80" w:type="dxa"/>
              <w:right w:w="120" w:type="dxa"/>
            </w:tcMar>
            <w:vAlign w:val="center"/>
          </w:tcPr>
          <w:p w14:paraId="0C374BAC">
            <w:pPr>
              <w:spacing w:after="0"/>
            </w:pPr>
            <w:r>
              <w:rPr>
                <w:rFonts w:ascii="Arial" w:hAnsi="Arial" w:eastAsia="Arial" w:cs="Arial"/>
                <w:b w:val="0"/>
                <w:bCs w:val="0"/>
                <w:color w:val="1E8449"/>
                <w:sz w:val="20"/>
                <w:szCs w:val="20"/>
              </w:rPr>
              <w:t>✓</w:t>
            </w:r>
          </w:p>
        </w:tc>
        <w:tc>
          <w:tcPr>
            <w:tcW w:w="1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4AF9109">
            <w:pPr>
              <w:spacing w:after="0"/>
            </w:pPr>
            <w:r>
              <w:rPr>
                <w:rFonts w:ascii="Arial" w:hAnsi="Arial" w:eastAsia="Arial" w:cs="Arial"/>
                <w:b w:val="0"/>
                <w:bCs w:val="0"/>
                <w:color w:val="333333"/>
                <w:sz w:val="20"/>
                <w:szCs w:val="20"/>
              </w:rPr>
              <w:t>AI gap</w:t>
            </w:r>
          </w:p>
        </w:tc>
      </w:tr>
      <w:tr w14:paraId="701F8358">
        <w:tc>
          <w:tcPr>
            <w:tcW w:w="1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171D1E2">
            <w:pPr>
              <w:spacing w:after="0"/>
            </w:pPr>
            <w:r>
              <w:rPr>
                <w:rFonts w:ascii="Arial" w:hAnsi="Arial" w:eastAsia="Arial" w:cs="Arial"/>
                <w:b/>
                <w:bCs/>
                <w:color w:val="333333"/>
                <w:sz w:val="20"/>
                <w:szCs w:val="20"/>
              </w:rPr>
              <w:t>Multi-LLM</w:t>
            </w:r>
          </w:p>
        </w:tc>
        <w:tc>
          <w:tcPr>
            <w:tcW w:w="1300" w:type="dxa"/>
            <w:tcBorders>
              <w:top w:val="single" w:color="CCCCCC" w:sz="0" w:space="0"/>
              <w:left w:val="single" w:color="CCCCCC" w:sz="0" w:space="0"/>
              <w:bottom w:val="single" w:color="CCCCCC" w:sz="0" w:space="0"/>
              <w:right w:val="single" w:color="CCCCCC" w:sz="0" w:space="0"/>
            </w:tcBorders>
            <w:shd w:val="clear" w:color="auto" w:fill="FADBD8"/>
            <w:tcMar>
              <w:top w:w="80" w:type="dxa"/>
              <w:left w:w="120" w:type="dxa"/>
              <w:bottom w:w="80" w:type="dxa"/>
              <w:right w:w="120" w:type="dxa"/>
            </w:tcMar>
            <w:vAlign w:val="center"/>
          </w:tcPr>
          <w:p w14:paraId="358828DC">
            <w:pPr>
              <w:spacing w:after="0"/>
            </w:pPr>
            <w:r>
              <w:rPr>
                <w:rFonts w:ascii="Arial" w:hAnsi="Arial" w:eastAsia="Arial" w:cs="Arial"/>
                <w:b w:val="0"/>
                <w:bCs w:val="0"/>
                <w:color w:val="C0392B"/>
                <w:sz w:val="20"/>
                <w:szCs w:val="20"/>
              </w:rPr>
              <w:t>✗</w:t>
            </w:r>
          </w:p>
        </w:tc>
        <w:tc>
          <w:tcPr>
            <w:tcW w:w="1300" w:type="dxa"/>
            <w:tcBorders>
              <w:top w:val="single" w:color="CCCCCC" w:sz="0" w:space="0"/>
              <w:left w:val="single" w:color="CCCCCC" w:sz="0" w:space="0"/>
              <w:bottom w:val="single" w:color="CCCCCC" w:sz="0" w:space="0"/>
              <w:right w:val="single" w:color="CCCCCC" w:sz="0" w:space="0"/>
            </w:tcBorders>
            <w:shd w:val="clear" w:color="auto" w:fill="FADBD8"/>
            <w:tcMar>
              <w:top w:w="80" w:type="dxa"/>
              <w:left w:w="120" w:type="dxa"/>
              <w:bottom w:w="80" w:type="dxa"/>
              <w:right w:w="120" w:type="dxa"/>
            </w:tcMar>
            <w:vAlign w:val="center"/>
          </w:tcPr>
          <w:p w14:paraId="73139F6B">
            <w:pPr>
              <w:spacing w:after="0"/>
            </w:pPr>
            <w:r>
              <w:rPr>
                <w:rFonts w:ascii="Arial" w:hAnsi="Arial" w:eastAsia="Arial" w:cs="Arial"/>
                <w:b w:val="0"/>
                <w:bCs w:val="0"/>
                <w:color w:val="C0392B"/>
                <w:sz w:val="20"/>
                <w:szCs w:val="20"/>
              </w:rPr>
              <w:t>✗</w:t>
            </w:r>
          </w:p>
        </w:tc>
        <w:tc>
          <w:tcPr>
            <w:tcW w:w="1300" w:type="dxa"/>
            <w:tcBorders>
              <w:top w:val="single" w:color="CCCCCC" w:sz="0" w:space="0"/>
              <w:left w:val="single" w:color="CCCCCC" w:sz="0" w:space="0"/>
              <w:bottom w:val="single" w:color="CCCCCC" w:sz="0" w:space="0"/>
              <w:right w:val="single" w:color="CCCCCC" w:sz="0" w:space="0"/>
            </w:tcBorders>
            <w:shd w:val="clear" w:color="auto" w:fill="FADBD8"/>
            <w:tcMar>
              <w:top w:w="80" w:type="dxa"/>
              <w:left w:w="120" w:type="dxa"/>
              <w:bottom w:w="80" w:type="dxa"/>
              <w:right w:w="120" w:type="dxa"/>
            </w:tcMar>
            <w:vAlign w:val="center"/>
          </w:tcPr>
          <w:p w14:paraId="35A5CF56">
            <w:pPr>
              <w:spacing w:after="0"/>
            </w:pPr>
            <w:r>
              <w:rPr>
                <w:rFonts w:ascii="Arial" w:hAnsi="Arial" w:eastAsia="Arial" w:cs="Arial"/>
                <w:b w:val="0"/>
                <w:bCs w:val="0"/>
                <w:color w:val="C0392B"/>
                <w:sz w:val="20"/>
                <w:szCs w:val="20"/>
              </w:rPr>
              <w:t>✗</w:t>
            </w:r>
          </w:p>
        </w:tc>
        <w:tc>
          <w:tcPr>
            <w:tcW w:w="1300" w:type="dxa"/>
            <w:tcBorders>
              <w:top w:val="single" w:color="CCCCCC" w:sz="0" w:space="0"/>
              <w:left w:val="single" w:color="CCCCCC" w:sz="0" w:space="0"/>
              <w:bottom w:val="single" w:color="CCCCCC" w:sz="0" w:space="0"/>
              <w:right w:val="single" w:color="CCCCCC" w:sz="0" w:space="0"/>
            </w:tcBorders>
            <w:shd w:val="clear" w:color="auto" w:fill="FADBD8"/>
            <w:tcMar>
              <w:top w:w="80" w:type="dxa"/>
              <w:left w:w="120" w:type="dxa"/>
              <w:bottom w:w="80" w:type="dxa"/>
              <w:right w:w="120" w:type="dxa"/>
            </w:tcMar>
            <w:vAlign w:val="center"/>
          </w:tcPr>
          <w:p w14:paraId="26FE0150">
            <w:pPr>
              <w:spacing w:after="0"/>
            </w:pPr>
            <w:r>
              <w:rPr>
                <w:rFonts w:ascii="Arial" w:hAnsi="Arial" w:eastAsia="Arial" w:cs="Arial"/>
                <w:b w:val="0"/>
                <w:bCs w:val="0"/>
                <w:color w:val="C0392B"/>
                <w:sz w:val="20"/>
                <w:szCs w:val="20"/>
              </w:rPr>
              <w:t>✗</w:t>
            </w:r>
          </w:p>
        </w:tc>
        <w:tc>
          <w:tcPr>
            <w:tcW w:w="1300" w:type="dxa"/>
            <w:tcBorders>
              <w:top w:val="single" w:color="CCCCCC" w:sz="0" w:space="0"/>
              <w:left w:val="single" w:color="CCCCCC" w:sz="0" w:space="0"/>
              <w:bottom w:val="single" w:color="CCCCCC" w:sz="0" w:space="0"/>
              <w:right w:val="single" w:color="CCCCCC" w:sz="0" w:space="0"/>
            </w:tcBorders>
            <w:shd w:val="clear" w:color="auto" w:fill="D5F5E3"/>
            <w:tcMar>
              <w:top w:w="80" w:type="dxa"/>
              <w:left w:w="120" w:type="dxa"/>
              <w:bottom w:w="80" w:type="dxa"/>
              <w:right w:w="120" w:type="dxa"/>
            </w:tcMar>
            <w:vAlign w:val="center"/>
          </w:tcPr>
          <w:p w14:paraId="6E690DDC">
            <w:pPr>
              <w:spacing w:after="0"/>
            </w:pPr>
            <w:r>
              <w:rPr>
                <w:rFonts w:ascii="Arial" w:hAnsi="Arial" w:eastAsia="Arial" w:cs="Arial"/>
                <w:b w:val="0"/>
                <w:bCs w:val="0"/>
                <w:color w:val="1E8449"/>
                <w:sz w:val="20"/>
                <w:szCs w:val="20"/>
              </w:rPr>
              <w:t>✓</w:t>
            </w:r>
          </w:p>
        </w:tc>
        <w:tc>
          <w:tcPr>
            <w:tcW w:w="1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E0117F1">
            <w:pPr>
              <w:spacing w:after="0"/>
            </w:pPr>
            <w:r>
              <w:rPr>
                <w:rFonts w:ascii="Arial" w:hAnsi="Arial" w:eastAsia="Arial" w:cs="Arial"/>
                <w:b w:val="0"/>
                <w:bCs w:val="0"/>
                <w:color w:val="333333"/>
                <w:sz w:val="20"/>
                <w:szCs w:val="20"/>
              </w:rPr>
              <w:t>Global</w:t>
            </w:r>
          </w:p>
        </w:tc>
      </w:tr>
    </w:tbl>
    <w:p w14:paraId="6037367A">
      <w:pPr>
        <w:spacing w:before="80" w:after="120"/>
      </w:pPr>
      <w:r>
        <w:rPr>
          <w:rFonts w:ascii="Arial" w:hAnsi="Arial" w:eastAsia="Arial" w:cs="Arial"/>
          <w:i/>
          <w:iCs/>
          <w:color w:val="666666"/>
          <w:sz w:val="18"/>
          <w:szCs w:val="18"/>
        </w:rPr>
        <w:t>✓ = Has feature | ✗ = Does not have feature</w:t>
      </w:r>
    </w:p>
    <w:p w14:paraId="1F10A0A3">
      <w:pPr>
        <w:pStyle w:val="3"/>
        <w:spacing w:before="0" w:after="120"/>
      </w:pPr>
      <w:r>
        <w:rPr>
          <w:rFonts w:ascii="Arial" w:hAnsi="Arial" w:eastAsia="Arial" w:cs="Arial"/>
          <w:color w:val="333333"/>
          <w:sz w:val="22"/>
          <w:szCs w:val="22"/>
        </w:rPr>
        <w:t>The Three Unfilled Gaps</w:t>
      </w:r>
    </w:p>
    <w:p w14:paraId="1F29F523">
      <w:pPr>
        <w:spacing w:before="0" w:after="120"/>
      </w:pPr>
      <w:r>
        <w:rPr>
          <w:rFonts w:ascii="Arial" w:hAnsi="Arial" w:eastAsia="Arial" w:cs="Arial"/>
          <w:b/>
          <w:bCs/>
          <w:color w:val="1B4F72"/>
          <w:sz w:val="22"/>
          <w:szCs w:val="22"/>
        </w:rPr>
        <w:t xml:space="preserve">Gap 1 — AI + Urdu + Pakistani Curriculum: </w:t>
      </w:r>
      <w:r>
        <w:rPr>
          <w:rFonts w:ascii="Arial" w:hAnsi="Arial" w:eastAsia="Arial" w:cs="Arial"/>
          <w:color w:val="333333"/>
          <w:sz w:val="22"/>
          <w:szCs w:val="22"/>
        </w:rPr>
        <w:t>Global AI platforms (Khanmigo, Century Tech) don’t speak Urdu or align to Pakistani boards. Pakistan’s edtech players (Maqsad, Taleemabad) offer content but no AI generation. Nobody combines all three.</w:t>
      </w:r>
    </w:p>
    <w:p w14:paraId="6CDF0439">
      <w:pPr>
        <w:spacing w:before="0" w:after="120"/>
      </w:pPr>
      <w:r>
        <w:rPr>
          <w:rFonts w:ascii="Arial" w:hAnsi="Arial" w:eastAsia="Arial" w:cs="Arial"/>
          <w:b/>
          <w:bCs/>
          <w:color w:val="1B4F72"/>
          <w:sz w:val="22"/>
          <w:szCs w:val="22"/>
        </w:rPr>
        <w:t xml:space="preserve">Gap 2 — Teacher-Led AI Lesson Generation from Uploaded Documents: </w:t>
      </w:r>
      <w:r>
        <w:rPr>
          <w:rFonts w:ascii="Arial" w:hAnsi="Arial" w:eastAsia="Arial" w:cs="Arial"/>
          <w:color w:val="333333"/>
          <w:sz w:val="22"/>
          <w:szCs w:val="22"/>
        </w:rPr>
        <w:t>No competitor — global or local — lets a teacher upload their own textbook PDF and get AI-generated lessons, Q&amp;A, and assessments from it. This is IqbalAI’s strongest unique feature.</w:t>
      </w:r>
      <w:bookmarkStart w:id="9" w:name="_GoBack"/>
      <w:bookmarkEnd w:id="9"/>
    </w:p>
    <w:p w14:paraId="6CD98F7F">
      <w:pPr>
        <w:spacing w:before="0" w:after="120"/>
      </w:pPr>
      <w:r>
        <w:rPr>
          <w:rFonts w:ascii="Arial" w:hAnsi="Arial" w:eastAsia="Arial" w:cs="Arial"/>
          <w:b/>
          <w:bCs/>
          <w:color w:val="1B4F72"/>
          <w:sz w:val="22"/>
          <w:szCs w:val="22"/>
        </w:rPr>
        <w:t xml:space="preserve">Gap 3 — AI + School Management in One Platform: </w:t>
      </w:r>
      <w:r>
        <w:rPr>
          <w:rFonts w:ascii="Arial" w:hAnsi="Arial" w:eastAsia="Arial" w:cs="Arial"/>
          <w:color w:val="333333"/>
          <w:sz w:val="22"/>
          <w:szCs w:val="22"/>
        </w:rPr>
        <w:t>School management vendors handle admin. AI vendors handle learning. Nobody does both. The first platform to combine them eliminates the integration tax that schools currently pay by juggling multiple systems.</w:t>
      </w:r>
    </w:p>
    <w:p w14:paraId="2226BC45">
      <w:r>
        <w:br w:type="page"/>
      </w:r>
    </w:p>
    <w:p w14:paraId="259F4A2A">
      <w:pPr>
        <w:pStyle w:val="2"/>
        <w:spacing w:before="0" w:after="120"/>
      </w:pPr>
      <w:bookmarkStart w:id="5" w:name="_Toc768579405"/>
      <w:r>
        <w:rPr>
          <w:rFonts w:ascii="Arial" w:hAnsi="Arial" w:eastAsia="Arial" w:cs="Arial"/>
          <w:color w:val="333333"/>
          <w:sz w:val="22"/>
          <w:szCs w:val="22"/>
        </w:rPr>
        <w:t>Market Sizing Estimate</w:t>
      </w:r>
      <w:bookmarkEnd w:id="5"/>
    </w:p>
    <w:p w14:paraId="08F4E9D4">
      <w:pPr>
        <w:spacing w:before="0" w:after="120"/>
      </w:pPr>
      <w:r>
        <w:rPr>
          <w:rFonts w:ascii="Arial" w:hAnsi="Arial" w:eastAsia="Arial" w:cs="Arial"/>
          <w:color w:val="333333"/>
          <w:sz w:val="22"/>
          <w:szCs w:val="22"/>
        </w:rPr>
        <w:t>We calculate a rough TAM/SAM/SOM for IqbalAI targeting government schools in Punjab as the initial beachhead:</w:t>
      </w:r>
    </w:p>
    <w:p w14:paraId="623FDB11">
      <w:pPr>
        <w:pStyle w:val="3"/>
        <w:spacing w:before="0" w:after="120"/>
      </w:pPr>
      <w:r>
        <w:rPr>
          <w:rFonts w:ascii="Arial" w:hAnsi="Arial" w:eastAsia="Arial" w:cs="Arial"/>
          <w:color w:val="333333"/>
          <w:sz w:val="22"/>
          <w:szCs w:val="22"/>
        </w:rPr>
        <w:t>Total Addressable Market (TAM)</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7C7E357B">
        <w:tc>
          <w:tcPr>
            <w:tcW w:w="4680" w:type="dxa"/>
            <w:tcBorders>
              <w:top w:val="single" w:color="CCCCCC" w:sz="0" w:space="0"/>
              <w:left w:val="single" w:color="CCCCCC" w:sz="0" w:space="0"/>
              <w:bottom w:val="single" w:color="CCCCCC" w:sz="0" w:space="0"/>
              <w:right w:val="single" w:color="CCCCCC" w:sz="0" w:space="0"/>
            </w:tcBorders>
            <w:shd w:val="clear" w:color="auto" w:fill="1B4F72"/>
            <w:tcMar>
              <w:top w:w="80" w:type="dxa"/>
              <w:left w:w="120" w:type="dxa"/>
              <w:bottom w:w="80" w:type="dxa"/>
              <w:right w:w="120" w:type="dxa"/>
            </w:tcMar>
            <w:vAlign w:val="center"/>
          </w:tcPr>
          <w:p w14:paraId="75E74A6E">
            <w:pPr>
              <w:spacing w:after="0"/>
            </w:pPr>
            <w:r>
              <w:rPr>
                <w:rFonts w:ascii="Arial" w:hAnsi="Arial" w:eastAsia="Arial" w:cs="Arial"/>
                <w:b/>
                <w:bCs/>
                <w:color w:val="FFFFFF"/>
                <w:sz w:val="20"/>
                <w:szCs w:val="20"/>
              </w:rPr>
              <w:t>Dimension</w:t>
            </w:r>
          </w:p>
        </w:tc>
        <w:tc>
          <w:tcPr>
            <w:tcW w:w="4680" w:type="dxa"/>
            <w:tcBorders>
              <w:top w:val="single" w:color="CCCCCC" w:sz="0" w:space="0"/>
              <w:left w:val="single" w:color="CCCCCC" w:sz="0" w:space="0"/>
              <w:bottom w:val="single" w:color="CCCCCC" w:sz="0" w:space="0"/>
              <w:right w:val="single" w:color="CCCCCC" w:sz="0" w:space="0"/>
            </w:tcBorders>
            <w:shd w:val="clear" w:color="auto" w:fill="1B4F72"/>
            <w:tcMar>
              <w:top w:w="80" w:type="dxa"/>
              <w:left w:w="120" w:type="dxa"/>
              <w:bottom w:w="80" w:type="dxa"/>
              <w:right w:w="120" w:type="dxa"/>
            </w:tcMar>
            <w:vAlign w:val="center"/>
          </w:tcPr>
          <w:p w14:paraId="526128B4">
            <w:pPr>
              <w:spacing w:after="0"/>
            </w:pPr>
            <w:r>
              <w:rPr>
                <w:rFonts w:ascii="Arial" w:hAnsi="Arial" w:eastAsia="Arial" w:cs="Arial"/>
                <w:b/>
                <w:bCs/>
                <w:color w:val="FFFFFF"/>
                <w:sz w:val="20"/>
                <w:szCs w:val="20"/>
              </w:rPr>
              <w:t>Estimate</w:t>
            </w:r>
          </w:p>
        </w:tc>
      </w:tr>
      <w:tr w14:paraId="7C64B18D">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713B4BE">
            <w:pPr>
              <w:spacing w:after="0"/>
            </w:pPr>
            <w:r>
              <w:rPr>
                <w:rFonts w:ascii="Arial" w:hAnsi="Arial" w:eastAsia="Arial" w:cs="Arial"/>
                <w:b w:val="0"/>
                <w:bCs w:val="0"/>
                <w:color w:val="333333"/>
                <w:sz w:val="20"/>
                <w:szCs w:val="20"/>
              </w:rPr>
              <w:t>Total schools in Pakistan</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63CC70F">
            <w:pPr>
              <w:spacing w:after="0"/>
            </w:pPr>
            <w:r>
              <w:rPr>
                <w:rFonts w:ascii="Arial" w:hAnsi="Arial" w:eastAsia="Arial" w:cs="Arial"/>
                <w:b w:val="0"/>
                <w:bCs w:val="0"/>
                <w:color w:val="333333"/>
                <w:sz w:val="20"/>
                <w:szCs w:val="20"/>
              </w:rPr>
              <w:t>~350,000</w:t>
            </w:r>
          </w:p>
        </w:tc>
      </w:tr>
      <w:tr w14:paraId="733CDF83">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DEB90CA">
            <w:pPr>
              <w:spacing w:after="0"/>
            </w:pPr>
            <w:r>
              <w:rPr>
                <w:rFonts w:ascii="Arial" w:hAnsi="Arial" w:eastAsia="Arial" w:cs="Arial"/>
                <w:b w:val="0"/>
                <w:bCs w:val="0"/>
                <w:color w:val="333333"/>
                <w:sz w:val="20"/>
                <w:szCs w:val="20"/>
              </w:rPr>
              <w:t>Government schools (estimated 60%)</w:t>
            </w:r>
          </w:p>
        </w:tc>
        <w:tc>
          <w:tcPr>
            <w:tcW w:w="468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4448A50D">
            <w:pPr>
              <w:spacing w:after="0"/>
            </w:pPr>
            <w:r>
              <w:rPr>
                <w:rFonts w:ascii="Arial" w:hAnsi="Arial" w:eastAsia="Arial" w:cs="Arial"/>
                <w:b w:val="0"/>
                <w:bCs w:val="0"/>
                <w:color w:val="333333"/>
                <w:sz w:val="20"/>
                <w:szCs w:val="20"/>
              </w:rPr>
              <w:t>~210,000</w:t>
            </w:r>
          </w:p>
        </w:tc>
      </w:tr>
      <w:tr w14:paraId="74A6CE45">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7500308">
            <w:pPr>
              <w:spacing w:after="0"/>
            </w:pPr>
            <w:r>
              <w:rPr>
                <w:rFonts w:ascii="Arial" w:hAnsi="Arial" w:eastAsia="Arial" w:cs="Arial"/>
                <w:b w:val="0"/>
                <w:bCs w:val="0"/>
                <w:color w:val="333333"/>
                <w:sz w:val="20"/>
                <w:szCs w:val="20"/>
              </w:rPr>
              <w:t>If priced at $500/school/year (SaaS license)</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8096943">
            <w:pPr>
              <w:spacing w:after="0"/>
            </w:pPr>
            <w:r>
              <w:rPr>
                <w:rFonts w:ascii="Arial" w:hAnsi="Arial" w:eastAsia="Arial" w:cs="Arial"/>
                <w:b w:val="0"/>
                <w:bCs w:val="0"/>
                <w:color w:val="333333"/>
                <w:sz w:val="20"/>
                <w:szCs w:val="20"/>
              </w:rPr>
              <w:t>$105 million/year</w:t>
            </w:r>
          </w:p>
        </w:tc>
      </w:tr>
      <w:tr w14:paraId="06683F28">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BB98F5B">
            <w:pPr>
              <w:spacing w:after="0"/>
            </w:pPr>
            <w:r>
              <w:rPr>
                <w:rFonts w:ascii="Arial" w:hAnsi="Arial" w:eastAsia="Arial" w:cs="Arial"/>
                <w:b w:val="0"/>
                <w:bCs w:val="0"/>
                <w:color w:val="333333"/>
                <w:sz w:val="20"/>
                <w:szCs w:val="20"/>
              </w:rPr>
              <w:t>If priced at $2/student/year (56M enrolled)</w:t>
            </w:r>
          </w:p>
        </w:tc>
        <w:tc>
          <w:tcPr>
            <w:tcW w:w="468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5BB246DB">
            <w:pPr>
              <w:spacing w:after="0"/>
            </w:pPr>
            <w:r>
              <w:rPr>
                <w:rFonts w:ascii="Arial" w:hAnsi="Arial" w:eastAsia="Arial" w:cs="Arial"/>
                <w:b w:val="0"/>
                <w:bCs w:val="0"/>
                <w:color w:val="333333"/>
                <w:sz w:val="20"/>
                <w:szCs w:val="20"/>
              </w:rPr>
              <w:t>$112 million/year</w:t>
            </w:r>
          </w:p>
        </w:tc>
      </w:tr>
    </w:tbl>
    <w:p w14:paraId="2E5F0288">
      <w:pPr>
        <w:spacing w:before="0" w:after="120"/>
      </w:pPr>
    </w:p>
    <w:p w14:paraId="5B2A3357">
      <w:pPr>
        <w:pStyle w:val="3"/>
        <w:spacing w:before="0" w:after="120"/>
      </w:pPr>
      <w:r>
        <w:rPr>
          <w:rFonts w:ascii="Arial" w:hAnsi="Arial" w:eastAsia="Arial" w:cs="Arial"/>
          <w:color w:val="333333"/>
          <w:sz w:val="22"/>
          <w:szCs w:val="22"/>
        </w:rPr>
        <w:t>Serviceable Addressable Market (SAM)</w:t>
      </w:r>
    </w:p>
    <w:p w14:paraId="1498CE6A">
      <w:pPr>
        <w:spacing w:before="0" w:after="120"/>
      </w:pPr>
      <w:r>
        <w:rPr>
          <w:rFonts w:ascii="Arial" w:hAnsi="Arial" w:eastAsia="Arial" w:cs="Arial"/>
          <w:color w:val="333333"/>
          <w:sz w:val="22"/>
          <w:szCs w:val="22"/>
        </w:rPr>
        <w:t>Punjab province only (largest, most digitally ready, most aligned with PITB infrastructure):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79FC19DA">
        <w:tc>
          <w:tcPr>
            <w:tcW w:w="4680" w:type="dxa"/>
            <w:tcBorders>
              <w:top w:val="single" w:color="CCCCCC" w:sz="0" w:space="0"/>
              <w:left w:val="single" w:color="CCCCCC" w:sz="0" w:space="0"/>
              <w:bottom w:val="single" w:color="CCCCCC" w:sz="0" w:space="0"/>
              <w:right w:val="single" w:color="CCCCCC" w:sz="0" w:space="0"/>
            </w:tcBorders>
            <w:shd w:val="clear" w:color="auto" w:fill="1B4F72"/>
            <w:tcMar>
              <w:top w:w="80" w:type="dxa"/>
              <w:left w:w="120" w:type="dxa"/>
              <w:bottom w:w="80" w:type="dxa"/>
              <w:right w:w="120" w:type="dxa"/>
            </w:tcMar>
            <w:vAlign w:val="center"/>
          </w:tcPr>
          <w:p w14:paraId="0802B4B5">
            <w:pPr>
              <w:spacing w:after="0"/>
            </w:pPr>
            <w:r>
              <w:rPr>
                <w:rFonts w:ascii="Arial" w:hAnsi="Arial" w:eastAsia="Arial" w:cs="Arial"/>
                <w:b/>
                <w:bCs/>
                <w:color w:val="FFFFFF"/>
                <w:sz w:val="20"/>
                <w:szCs w:val="20"/>
              </w:rPr>
              <w:t>Dimension</w:t>
            </w:r>
          </w:p>
        </w:tc>
        <w:tc>
          <w:tcPr>
            <w:tcW w:w="4680" w:type="dxa"/>
            <w:tcBorders>
              <w:top w:val="single" w:color="CCCCCC" w:sz="0" w:space="0"/>
              <w:left w:val="single" w:color="CCCCCC" w:sz="0" w:space="0"/>
              <w:bottom w:val="single" w:color="CCCCCC" w:sz="0" w:space="0"/>
              <w:right w:val="single" w:color="CCCCCC" w:sz="0" w:space="0"/>
            </w:tcBorders>
            <w:shd w:val="clear" w:color="auto" w:fill="1B4F72"/>
            <w:tcMar>
              <w:top w:w="80" w:type="dxa"/>
              <w:left w:w="120" w:type="dxa"/>
              <w:bottom w:w="80" w:type="dxa"/>
              <w:right w:w="120" w:type="dxa"/>
            </w:tcMar>
            <w:vAlign w:val="center"/>
          </w:tcPr>
          <w:p w14:paraId="70245218">
            <w:pPr>
              <w:spacing w:after="0"/>
            </w:pPr>
            <w:r>
              <w:rPr>
                <w:rFonts w:ascii="Arial" w:hAnsi="Arial" w:eastAsia="Arial" w:cs="Arial"/>
                <w:b/>
                <w:bCs/>
                <w:color w:val="FFFFFF"/>
                <w:sz w:val="20"/>
                <w:szCs w:val="20"/>
              </w:rPr>
              <w:t>Estimate</w:t>
            </w:r>
          </w:p>
        </w:tc>
      </w:tr>
      <w:tr w14:paraId="76218A2A">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AB05ABF">
            <w:pPr>
              <w:spacing w:after="0"/>
            </w:pPr>
            <w:r>
              <w:rPr>
                <w:rFonts w:ascii="Arial" w:hAnsi="Arial" w:eastAsia="Arial" w:cs="Arial"/>
                <w:b w:val="0"/>
                <w:bCs w:val="0"/>
                <w:color w:val="333333"/>
                <w:sz w:val="20"/>
                <w:szCs w:val="20"/>
              </w:rPr>
              <w:t>Punjab government schools</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0312CA4">
            <w:pPr>
              <w:spacing w:after="0"/>
            </w:pPr>
            <w:r>
              <w:rPr>
                <w:rFonts w:ascii="Arial" w:hAnsi="Arial" w:eastAsia="Arial" w:cs="Arial"/>
                <w:b w:val="0"/>
                <w:bCs w:val="0"/>
                <w:color w:val="333333"/>
                <w:sz w:val="20"/>
                <w:szCs w:val="20"/>
              </w:rPr>
              <w:t>~52,000 (estimated)</w:t>
            </w:r>
          </w:p>
        </w:tc>
      </w:tr>
      <w:tr w14:paraId="0DE5516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725E92A">
            <w:pPr>
              <w:spacing w:after="0"/>
            </w:pPr>
            <w:r>
              <w:rPr>
                <w:rFonts w:ascii="Arial" w:hAnsi="Arial" w:eastAsia="Arial" w:cs="Arial"/>
                <w:b w:val="0"/>
                <w:bCs w:val="0"/>
                <w:color w:val="333333"/>
                <w:sz w:val="20"/>
                <w:szCs w:val="20"/>
              </w:rPr>
              <w:t>Punjab student enrollment</w:t>
            </w:r>
          </w:p>
        </w:tc>
        <w:tc>
          <w:tcPr>
            <w:tcW w:w="468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331F3BFC">
            <w:pPr>
              <w:spacing w:after="0"/>
            </w:pPr>
            <w:r>
              <w:rPr>
                <w:rFonts w:ascii="Arial" w:hAnsi="Arial" w:eastAsia="Arial" w:cs="Arial"/>
                <w:b w:val="0"/>
                <w:bCs w:val="0"/>
                <w:color w:val="333333"/>
                <w:sz w:val="20"/>
                <w:szCs w:val="20"/>
              </w:rPr>
              <w:t>~12.3 million</w:t>
            </w:r>
          </w:p>
        </w:tc>
      </w:tr>
      <w:tr w14:paraId="4E4E543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6B7A20C">
            <w:pPr>
              <w:spacing w:after="0"/>
            </w:pPr>
            <w:r>
              <w:rPr>
                <w:rFonts w:ascii="Arial" w:hAnsi="Arial" w:eastAsia="Arial" w:cs="Arial"/>
                <w:b w:val="0"/>
                <w:bCs w:val="0"/>
                <w:color w:val="333333"/>
                <w:sz w:val="20"/>
                <w:szCs w:val="20"/>
              </w:rPr>
              <w:t>Schools with electricity + internet</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51045EF">
            <w:pPr>
              <w:spacing w:after="0"/>
            </w:pPr>
            <w:r>
              <w:rPr>
                <w:rFonts w:ascii="Arial" w:hAnsi="Arial" w:eastAsia="Arial" w:cs="Arial"/>
                <w:b w:val="0"/>
                <w:bCs w:val="0"/>
                <w:color w:val="333333"/>
                <w:sz w:val="20"/>
                <w:szCs w:val="20"/>
              </w:rPr>
              <w:t>~70% (Punjab leads nationally)</w:t>
            </w:r>
          </w:p>
        </w:tc>
      </w:tr>
      <w:tr w14:paraId="797678B5">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5D7B85C">
            <w:pPr>
              <w:spacing w:after="0"/>
            </w:pPr>
            <w:r>
              <w:rPr>
                <w:rFonts w:ascii="Arial" w:hAnsi="Arial" w:eastAsia="Arial" w:cs="Arial"/>
                <w:b w:val="0"/>
                <w:bCs w:val="0"/>
                <w:color w:val="333333"/>
                <w:sz w:val="20"/>
                <w:szCs w:val="20"/>
              </w:rPr>
              <w:t>Digitally reachable schools</w:t>
            </w:r>
          </w:p>
        </w:tc>
        <w:tc>
          <w:tcPr>
            <w:tcW w:w="468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3DFA0EBB">
            <w:pPr>
              <w:spacing w:after="0"/>
            </w:pPr>
            <w:r>
              <w:rPr>
                <w:rFonts w:ascii="Arial" w:hAnsi="Arial" w:eastAsia="Arial" w:cs="Arial"/>
                <w:b w:val="0"/>
                <w:bCs w:val="0"/>
                <w:color w:val="333333"/>
                <w:sz w:val="20"/>
                <w:szCs w:val="20"/>
              </w:rPr>
              <w:t>~36,000</w:t>
            </w:r>
          </w:p>
        </w:tc>
      </w:tr>
      <w:tr w14:paraId="63106229">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180396A">
            <w:pPr>
              <w:spacing w:after="0"/>
            </w:pPr>
            <w:r>
              <w:rPr>
                <w:rFonts w:ascii="Arial" w:hAnsi="Arial" w:eastAsia="Arial" w:cs="Arial"/>
                <w:b w:val="0"/>
                <w:bCs w:val="0"/>
                <w:color w:val="333333"/>
                <w:sz w:val="20"/>
                <w:szCs w:val="20"/>
              </w:rPr>
              <w:t>SAM at $500/school/year</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3E3D8BB">
            <w:pPr>
              <w:spacing w:after="0"/>
            </w:pPr>
            <w:r>
              <w:rPr>
                <w:rFonts w:ascii="Arial" w:hAnsi="Arial" w:eastAsia="Arial" w:cs="Arial"/>
                <w:b w:val="0"/>
                <w:bCs w:val="0"/>
                <w:color w:val="333333"/>
                <w:sz w:val="20"/>
                <w:szCs w:val="20"/>
              </w:rPr>
              <w:t>$18 million/year</w:t>
            </w:r>
          </w:p>
        </w:tc>
      </w:tr>
      <w:tr w14:paraId="68CAD859">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036164D">
            <w:pPr>
              <w:spacing w:after="0"/>
            </w:pPr>
            <w:r>
              <w:rPr>
                <w:rFonts w:ascii="Arial" w:hAnsi="Arial" w:eastAsia="Arial" w:cs="Arial"/>
                <w:b w:val="0"/>
                <w:bCs w:val="0"/>
                <w:color w:val="333333"/>
                <w:sz w:val="20"/>
                <w:szCs w:val="20"/>
              </w:rPr>
              <w:t>SAM at $2/student/year (8.6M reachable)</w:t>
            </w:r>
          </w:p>
        </w:tc>
        <w:tc>
          <w:tcPr>
            <w:tcW w:w="468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35C1AF1E">
            <w:pPr>
              <w:spacing w:after="0"/>
            </w:pPr>
            <w:r>
              <w:rPr>
                <w:rFonts w:ascii="Arial" w:hAnsi="Arial" w:eastAsia="Arial" w:cs="Arial"/>
                <w:b w:val="0"/>
                <w:bCs w:val="0"/>
                <w:color w:val="333333"/>
                <w:sz w:val="20"/>
                <w:szCs w:val="20"/>
              </w:rPr>
              <w:t>$17.2 million/year</w:t>
            </w:r>
          </w:p>
        </w:tc>
      </w:tr>
    </w:tbl>
    <w:p w14:paraId="52476951">
      <w:pPr>
        <w:spacing w:before="0" w:after="120"/>
      </w:pPr>
    </w:p>
    <w:p w14:paraId="00D65F70">
      <w:pPr>
        <w:pStyle w:val="3"/>
        <w:spacing w:before="0" w:after="120"/>
      </w:pPr>
      <w:r>
        <w:rPr>
          <w:rFonts w:ascii="Arial" w:hAnsi="Arial" w:eastAsia="Arial" w:cs="Arial"/>
          <w:color w:val="333333"/>
          <w:sz w:val="22"/>
          <w:szCs w:val="22"/>
        </w:rPr>
        <w:t>Serviceable Obtainable Market (SOM) — Year 1</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6963AA20">
        <w:tc>
          <w:tcPr>
            <w:tcW w:w="4680" w:type="dxa"/>
            <w:tcBorders>
              <w:top w:val="single" w:color="CCCCCC" w:sz="0" w:space="0"/>
              <w:left w:val="single" w:color="CCCCCC" w:sz="0" w:space="0"/>
              <w:bottom w:val="single" w:color="CCCCCC" w:sz="0" w:space="0"/>
              <w:right w:val="single" w:color="CCCCCC" w:sz="0" w:space="0"/>
            </w:tcBorders>
            <w:shd w:val="clear" w:color="auto" w:fill="1B4F72"/>
            <w:tcMar>
              <w:top w:w="80" w:type="dxa"/>
              <w:left w:w="120" w:type="dxa"/>
              <w:bottom w:w="80" w:type="dxa"/>
              <w:right w:w="120" w:type="dxa"/>
            </w:tcMar>
            <w:vAlign w:val="center"/>
          </w:tcPr>
          <w:p w14:paraId="059DAE13">
            <w:pPr>
              <w:spacing w:after="0"/>
            </w:pPr>
            <w:r>
              <w:rPr>
                <w:rFonts w:ascii="Arial" w:hAnsi="Arial" w:eastAsia="Arial" w:cs="Arial"/>
                <w:b/>
                <w:bCs/>
                <w:color w:val="FFFFFF"/>
                <w:sz w:val="20"/>
                <w:szCs w:val="20"/>
              </w:rPr>
              <w:t>Scenario</w:t>
            </w:r>
          </w:p>
        </w:tc>
        <w:tc>
          <w:tcPr>
            <w:tcW w:w="4680" w:type="dxa"/>
            <w:tcBorders>
              <w:top w:val="single" w:color="CCCCCC" w:sz="0" w:space="0"/>
              <w:left w:val="single" w:color="CCCCCC" w:sz="0" w:space="0"/>
              <w:bottom w:val="single" w:color="CCCCCC" w:sz="0" w:space="0"/>
              <w:right w:val="single" w:color="CCCCCC" w:sz="0" w:space="0"/>
            </w:tcBorders>
            <w:shd w:val="clear" w:color="auto" w:fill="1B4F72"/>
            <w:tcMar>
              <w:top w:w="80" w:type="dxa"/>
              <w:left w:w="120" w:type="dxa"/>
              <w:bottom w:w="80" w:type="dxa"/>
              <w:right w:w="120" w:type="dxa"/>
            </w:tcMar>
            <w:vAlign w:val="center"/>
          </w:tcPr>
          <w:p w14:paraId="32BEAFA4">
            <w:pPr>
              <w:spacing w:after="0"/>
            </w:pPr>
            <w:r>
              <w:rPr>
                <w:rFonts w:ascii="Arial" w:hAnsi="Arial" w:eastAsia="Arial" w:cs="Arial"/>
                <w:b/>
                <w:bCs/>
                <w:color w:val="FFFFFF"/>
                <w:sz w:val="20"/>
                <w:szCs w:val="20"/>
              </w:rPr>
              <w:t>Revenue Estimate</w:t>
            </w:r>
          </w:p>
        </w:tc>
      </w:tr>
      <w:tr w14:paraId="422FCCDF">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C3C442D">
            <w:pPr>
              <w:spacing w:after="0"/>
            </w:pPr>
            <w:r>
              <w:rPr>
                <w:rFonts w:ascii="Arial" w:hAnsi="Arial" w:eastAsia="Arial" w:cs="Arial"/>
                <w:b w:val="0"/>
                <w:bCs w:val="0"/>
                <w:color w:val="333333"/>
                <w:sz w:val="20"/>
                <w:szCs w:val="20"/>
              </w:rPr>
              <w:t>Pilot: 50-100 schools (free/subsidized)</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772B3F9">
            <w:pPr>
              <w:spacing w:after="0"/>
            </w:pPr>
            <w:r>
              <w:rPr>
                <w:rFonts w:ascii="Arial" w:hAnsi="Arial" w:eastAsia="Arial" w:cs="Arial"/>
                <w:b w:val="0"/>
                <w:bCs w:val="0"/>
                <w:color w:val="333333"/>
                <w:sz w:val="20"/>
                <w:szCs w:val="20"/>
              </w:rPr>
              <w:t>$0 (validation phase)</w:t>
            </w:r>
          </w:p>
        </w:tc>
      </w:tr>
      <w:tr w14:paraId="3D1C21BA">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4EF8F4E">
            <w:pPr>
              <w:spacing w:after="0"/>
            </w:pPr>
            <w:r>
              <w:rPr>
                <w:rFonts w:ascii="Arial" w:hAnsi="Arial" w:eastAsia="Arial" w:cs="Arial"/>
                <w:b w:val="0"/>
                <w:bCs w:val="0"/>
                <w:color w:val="333333"/>
                <w:sz w:val="20"/>
                <w:szCs w:val="20"/>
              </w:rPr>
              <w:t>District contract: 500 schools at $300/school</w:t>
            </w:r>
          </w:p>
        </w:tc>
        <w:tc>
          <w:tcPr>
            <w:tcW w:w="468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5E848F53">
            <w:pPr>
              <w:spacing w:after="0"/>
            </w:pPr>
            <w:r>
              <w:rPr>
                <w:rFonts w:ascii="Arial" w:hAnsi="Arial" w:eastAsia="Arial" w:cs="Arial"/>
                <w:b w:val="0"/>
                <w:bCs w:val="0"/>
                <w:color w:val="333333"/>
                <w:sz w:val="20"/>
                <w:szCs w:val="20"/>
              </w:rPr>
              <w:t>$150,000/year</w:t>
            </w:r>
          </w:p>
        </w:tc>
      </w:tr>
      <w:tr w14:paraId="71C83A84">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59B7E06">
            <w:pPr>
              <w:spacing w:after="0"/>
            </w:pPr>
            <w:r>
              <w:rPr>
                <w:rFonts w:ascii="Arial" w:hAnsi="Arial" w:eastAsia="Arial" w:cs="Arial"/>
                <w:b w:val="0"/>
                <w:bCs w:val="0"/>
                <w:color w:val="333333"/>
                <w:sz w:val="20"/>
                <w:szCs w:val="20"/>
              </w:rPr>
              <w:t>Provincial pilot: 2,000 schools at $400/school</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DD7D7BD">
            <w:pPr>
              <w:spacing w:after="0"/>
            </w:pPr>
            <w:r>
              <w:rPr>
                <w:rFonts w:ascii="Arial" w:hAnsi="Arial" w:eastAsia="Arial" w:cs="Arial"/>
                <w:b w:val="0"/>
                <w:bCs w:val="0"/>
                <w:color w:val="333333"/>
                <w:sz w:val="20"/>
                <w:szCs w:val="20"/>
              </w:rPr>
              <w:t>$800,000/year</w:t>
            </w:r>
          </w:p>
        </w:tc>
      </w:tr>
    </w:tbl>
    <w:p w14:paraId="0A2D69EA">
      <w:pPr>
        <w:spacing w:before="0" w:after="120"/>
      </w:pPr>
    </w:p>
    <w:p w14:paraId="19451EF4">
      <w:pPr>
        <w:pBdr>
          <w:left w:val="single" w:color="2E86C1" w:sz="12" w:space="8"/>
        </w:pBdr>
        <w:spacing w:before="120" w:after="120"/>
        <w:ind w:left="360"/>
      </w:pPr>
      <w:r>
        <w:rPr>
          <w:rFonts w:ascii="Arial" w:hAnsi="Arial" w:eastAsia="Arial" w:cs="Arial"/>
          <w:i/>
          <w:iCs/>
          <w:color w:val="1B4F72"/>
          <w:sz w:val="22"/>
          <w:szCs w:val="22"/>
        </w:rPr>
        <w:t>Conservative Year 1 target: one district-level contract covering 500-2,000 schools in Punjab. Revenue range: $150K-$800K. This is realistic for a B2G SaaS first sale given the procurement cycle length and pilot requirements.</w:t>
      </w:r>
    </w:p>
    <w:p w14:paraId="72858208">
      <w:pPr>
        <w:pStyle w:val="3"/>
        <w:spacing w:before="0" w:after="120"/>
      </w:pPr>
      <w:r>
        <w:rPr>
          <w:rFonts w:ascii="Arial" w:hAnsi="Arial" w:eastAsia="Arial" w:cs="Arial"/>
          <w:color w:val="333333"/>
          <w:sz w:val="22"/>
          <w:szCs w:val="22"/>
        </w:rPr>
        <w:t>Phase 2 Market: Private Schools (O-Level / A-Level)</w:t>
      </w:r>
    </w:p>
    <w:p w14:paraId="3F604A8A">
      <w:pPr>
        <w:spacing w:before="0" w:after="120"/>
      </w:pPr>
      <w:r>
        <w:rPr>
          <w:rFonts w:ascii="Arial" w:hAnsi="Arial" w:eastAsia="Arial" w:cs="Arial"/>
          <w:color w:val="333333"/>
          <w:sz w:val="22"/>
          <w:szCs w:val="22"/>
        </w:rPr>
        <w:t>The CXO vision extends beyond government schools to include O-Level, A-Level, and professional exam prep. The private school market is a separate revenue stream:</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6305A3A6">
        <w:tc>
          <w:tcPr>
            <w:tcW w:w="4680" w:type="dxa"/>
            <w:tcBorders>
              <w:top w:val="single" w:color="CCCCCC" w:sz="0" w:space="0"/>
              <w:left w:val="single" w:color="CCCCCC" w:sz="0" w:space="0"/>
              <w:bottom w:val="single" w:color="CCCCCC" w:sz="0" w:space="0"/>
              <w:right w:val="single" w:color="CCCCCC" w:sz="0" w:space="0"/>
            </w:tcBorders>
            <w:shd w:val="clear" w:color="auto" w:fill="1B4F72"/>
            <w:tcMar>
              <w:top w:w="80" w:type="dxa"/>
              <w:left w:w="120" w:type="dxa"/>
              <w:bottom w:w="80" w:type="dxa"/>
              <w:right w:w="120" w:type="dxa"/>
            </w:tcMar>
            <w:vAlign w:val="center"/>
          </w:tcPr>
          <w:p w14:paraId="08C0B4EB">
            <w:pPr>
              <w:spacing w:after="0"/>
            </w:pPr>
            <w:r>
              <w:rPr>
                <w:rFonts w:ascii="Arial" w:hAnsi="Arial" w:eastAsia="Arial" w:cs="Arial"/>
                <w:b/>
                <w:bCs/>
                <w:color w:val="FFFFFF"/>
                <w:sz w:val="20"/>
                <w:szCs w:val="20"/>
              </w:rPr>
              <w:t>Dimension</w:t>
            </w:r>
          </w:p>
        </w:tc>
        <w:tc>
          <w:tcPr>
            <w:tcW w:w="4680" w:type="dxa"/>
            <w:tcBorders>
              <w:top w:val="single" w:color="CCCCCC" w:sz="0" w:space="0"/>
              <w:left w:val="single" w:color="CCCCCC" w:sz="0" w:space="0"/>
              <w:bottom w:val="single" w:color="CCCCCC" w:sz="0" w:space="0"/>
              <w:right w:val="single" w:color="CCCCCC" w:sz="0" w:space="0"/>
            </w:tcBorders>
            <w:shd w:val="clear" w:color="auto" w:fill="1B4F72"/>
            <w:tcMar>
              <w:top w:w="80" w:type="dxa"/>
              <w:left w:w="120" w:type="dxa"/>
              <w:bottom w:w="80" w:type="dxa"/>
              <w:right w:w="120" w:type="dxa"/>
            </w:tcMar>
            <w:vAlign w:val="center"/>
          </w:tcPr>
          <w:p w14:paraId="3F9BE51C">
            <w:pPr>
              <w:spacing w:after="0"/>
            </w:pPr>
            <w:r>
              <w:rPr>
                <w:rFonts w:ascii="Arial" w:hAnsi="Arial" w:eastAsia="Arial" w:cs="Arial"/>
                <w:b/>
                <w:bCs/>
                <w:color w:val="FFFFFF"/>
                <w:sz w:val="20"/>
                <w:szCs w:val="20"/>
              </w:rPr>
              <w:t>Estimate</w:t>
            </w:r>
          </w:p>
        </w:tc>
      </w:tr>
      <w:tr w14:paraId="18A76A6F">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636E4E9">
            <w:pPr>
              <w:spacing w:after="0"/>
            </w:pPr>
            <w:r>
              <w:rPr>
                <w:rFonts w:ascii="Arial" w:hAnsi="Arial" w:eastAsia="Arial" w:cs="Arial"/>
                <w:b w:val="0"/>
                <w:bCs w:val="0"/>
                <w:color w:val="333333"/>
                <w:sz w:val="20"/>
                <w:szCs w:val="20"/>
              </w:rPr>
              <w:t>Private institutions in Pakistan</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B20BF3C">
            <w:pPr>
              <w:spacing w:after="0"/>
            </w:pPr>
            <w:r>
              <w:rPr>
                <w:rFonts w:ascii="Arial" w:hAnsi="Arial" w:eastAsia="Arial" w:cs="Arial"/>
                <w:b w:val="0"/>
                <w:bCs w:val="0"/>
                <w:color w:val="333333"/>
                <w:sz w:val="20"/>
                <w:szCs w:val="20"/>
              </w:rPr>
              <w:t>~60,900 (30% of all institutions)</w:t>
            </w:r>
          </w:p>
        </w:tc>
      </w:tr>
      <w:tr w14:paraId="4FBBB421">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9A71634">
            <w:pPr>
              <w:spacing w:after="0"/>
            </w:pPr>
            <w:r>
              <w:rPr>
                <w:rFonts w:ascii="Arial" w:hAnsi="Arial" w:eastAsia="Arial" w:cs="Arial"/>
                <w:b w:val="0"/>
                <w:bCs w:val="0"/>
                <w:color w:val="333333"/>
                <w:sz w:val="20"/>
                <w:szCs w:val="20"/>
              </w:rPr>
              <w:t>Private school enrollment</w:t>
            </w:r>
          </w:p>
        </w:tc>
        <w:tc>
          <w:tcPr>
            <w:tcW w:w="468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5EC5E5DF">
            <w:pPr>
              <w:spacing w:after="0"/>
            </w:pPr>
            <w:r>
              <w:rPr>
                <w:rFonts w:ascii="Arial" w:hAnsi="Arial" w:eastAsia="Arial" w:cs="Arial"/>
                <w:b w:val="0"/>
                <w:bCs w:val="0"/>
                <w:color w:val="333333"/>
                <w:sz w:val="20"/>
                <w:szCs w:val="20"/>
              </w:rPr>
              <w:t>38% of total enrollment (~21 million students)</w:t>
            </w:r>
          </w:p>
        </w:tc>
      </w:tr>
      <w:tr w14:paraId="1FDD998A">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3AB1267">
            <w:pPr>
              <w:spacing w:after="0"/>
            </w:pPr>
            <w:r>
              <w:rPr>
                <w:rFonts w:ascii="Arial" w:hAnsi="Arial" w:eastAsia="Arial" w:cs="Arial"/>
                <w:b w:val="0"/>
                <w:bCs w:val="0"/>
                <w:color w:val="333333"/>
                <w:sz w:val="20"/>
                <w:szCs w:val="20"/>
              </w:rPr>
              <w:t>O-Level / A-Level schools (premium subset)</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194429E">
            <w:pPr>
              <w:spacing w:after="0"/>
            </w:pPr>
            <w:r>
              <w:rPr>
                <w:rFonts w:ascii="Arial" w:hAnsi="Arial" w:eastAsia="Arial" w:cs="Arial"/>
                <w:b w:val="0"/>
                <w:bCs w:val="0"/>
                <w:color w:val="333333"/>
                <w:sz w:val="20"/>
                <w:szCs w:val="20"/>
              </w:rPr>
              <w:t>~2,000-5,000 schools nationally (major chains + independents)</w:t>
            </w:r>
          </w:p>
        </w:tc>
      </w:tr>
      <w:tr w14:paraId="43DBEC5D">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ECD8D28">
            <w:pPr>
              <w:spacing w:after="0"/>
            </w:pPr>
            <w:r>
              <w:rPr>
                <w:rFonts w:ascii="Arial" w:hAnsi="Arial" w:eastAsia="Arial" w:cs="Arial"/>
                <w:b w:val="0"/>
                <w:bCs w:val="0"/>
                <w:color w:val="333333"/>
                <w:sz w:val="20"/>
                <w:szCs w:val="20"/>
              </w:rPr>
              <w:t>If priced at Rs 1,000/student/year (O-Level segment)</w:t>
            </w:r>
          </w:p>
        </w:tc>
        <w:tc>
          <w:tcPr>
            <w:tcW w:w="468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55911335">
            <w:pPr>
              <w:spacing w:after="0"/>
            </w:pPr>
            <w:r>
              <w:rPr>
                <w:rFonts w:ascii="Arial" w:hAnsi="Arial" w:eastAsia="Arial" w:cs="Arial"/>
                <w:b w:val="0"/>
                <w:bCs w:val="0"/>
                <w:color w:val="333333"/>
                <w:sz w:val="20"/>
                <w:szCs w:val="20"/>
              </w:rPr>
              <w:t>$5-15 million/year (depending on penetration)</w:t>
            </w:r>
          </w:p>
        </w:tc>
      </w:tr>
      <w:tr w14:paraId="20AA64BD">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582A7FB">
            <w:pPr>
              <w:spacing w:after="0"/>
            </w:pPr>
            <w:r>
              <w:rPr>
                <w:rFonts w:ascii="Arial" w:hAnsi="Arial" w:eastAsia="Arial" w:cs="Arial"/>
                <w:b w:val="0"/>
                <w:bCs w:val="0"/>
                <w:color w:val="333333"/>
                <w:sz w:val="20"/>
                <w:szCs w:val="20"/>
              </w:rPr>
              <w:t>Key advantage</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8F69E3E">
            <w:pPr>
              <w:spacing w:after="0"/>
            </w:pPr>
            <w:r>
              <w:rPr>
                <w:rFonts w:ascii="Arial" w:hAnsi="Arial" w:eastAsia="Arial" w:cs="Arial"/>
                <w:b w:val="0"/>
                <w:bCs w:val="0"/>
                <w:color w:val="333333"/>
                <w:sz w:val="20"/>
                <w:szCs w:val="20"/>
              </w:rPr>
              <w:t>Shorter B2B sales cycle, higher per-student revenue, parents pay directly</w:t>
            </w:r>
          </w:p>
        </w:tc>
      </w:tr>
    </w:tbl>
    <w:p w14:paraId="512FA41B">
      <w:pPr>
        <w:spacing w:before="0" w:after="120"/>
      </w:pPr>
    </w:p>
    <w:p w14:paraId="42B621FF">
      <w:pPr>
        <w:pBdr>
          <w:left w:val="single" w:color="2E86C1" w:sz="12" w:space="8"/>
        </w:pBdr>
        <w:spacing w:before="120" w:after="120"/>
        <w:ind w:left="360"/>
      </w:pPr>
      <w:r>
        <w:rPr>
          <w:rFonts w:ascii="Arial" w:hAnsi="Arial" w:eastAsia="Arial" w:cs="Arial"/>
          <w:i/>
          <w:iCs/>
          <w:color w:val="1B4F72"/>
          <w:sz w:val="22"/>
          <w:szCs w:val="22"/>
        </w:rPr>
        <w:t>The private school market is Phase 2 revenue diversification. The government contract provides credibility; the private school market provides margin. Same AI engine, different curriculum content (Cambridge CAIE vs. Punjab Board).</w:t>
      </w:r>
    </w:p>
    <w:p w14:paraId="7CF637C4">
      <w:r>
        <w:br w:type="page"/>
      </w:r>
    </w:p>
    <w:p w14:paraId="037859B9">
      <w:pPr>
        <w:pStyle w:val="2"/>
        <w:spacing w:before="0" w:after="120"/>
      </w:pPr>
      <w:bookmarkStart w:id="6" w:name="_Toc399923130"/>
      <w:r>
        <w:rPr>
          <w:rFonts w:ascii="Arial" w:hAnsi="Arial" w:eastAsia="Arial" w:cs="Arial"/>
          <w:color w:val="333333"/>
          <w:sz w:val="22"/>
          <w:szCs w:val="22"/>
        </w:rPr>
        <w:t>Preliminary Positioning Implications</w:t>
      </w:r>
      <w:bookmarkEnd w:id="6"/>
    </w:p>
    <w:p w14:paraId="18795C25">
      <w:pPr>
        <w:spacing w:before="0" w:after="120"/>
      </w:pPr>
      <w:r>
        <w:rPr>
          <w:rFonts w:ascii="Arial" w:hAnsi="Arial" w:eastAsia="Arial" w:cs="Arial"/>
          <w:color w:val="333333"/>
          <w:sz w:val="22"/>
          <w:szCs w:val="22"/>
        </w:rPr>
        <w:t>Based on the competitive and market analysis, these are the positioning angles that have the strongest differentiation:</w:t>
      </w:r>
    </w:p>
    <w:p w14:paraId="1AB4E369">
      <w:pPr>
        <w:pStyle w:val="3"/>
        <w:spacing w:before="0" w:after="120"/>
      </w:pPr>
      <w:r>
        <w:rPr>
          <w:rFonts w:ascii="Arial" w:hAnsi="Arial" w:eastAsia="Arial" w:cs="Arial"/>
          <w:color w:val="333333"/>
          <w:sz w:val="22"/>
          <w:szCs w:val="22"/>
        </w:rPr>
        <w:t>Candidate USPs (to validate in next phase)</w:t>
      </w:r>
    </w:p>
    <w:p w14:paraId="1D73444D">
      <w:pPr>
        <w:pStyle w:val="14"/>
        <w:numPr>
          <w:ilvl w:val="0"/>
          <w:numId w:val="1"/>
        </w:numPr>
        <w:spacing w:after="80"/>
      </w:pPr>
      <w:r>
        <w:rPr>
          <w:rFonts w:ascii="Arial" w:hAnsi="Arial" w:eastAsia="Arial" w:cs="Arial"/>
          <w:b/>
          <w:bCs/>
          <w:sz w:val="22"/>
          <w:szCs w:val="22"/>
        </w:rPr>
        <w:t xml:space="preserve">"Upload your textbook, get a lesson plan in 5 minutes." </w:t>
      </w:r>
      <w:r>
        <w:rPr>
          <w:rFonts w:ascii="Arial" w:hAnsi="Arial" w:eastAsia="Arial" w:cs="Arial"/>
          <w:sz w:val="22"/>
          <w:szCs w:val="22"/>
        </w:rPr>
        <w:t>No competitor offers RAG-based lesson generation from teacher-uploaded documents. This is the single strongest technical differentiator.</w:t>
      </w:r>
    </w:p>
    <w:p w14:paraId="74113625">
      <w:pPr>
        <w:pStyle w:val="14"/>
        <w:numPr>
          <w:ilvl w:val="0"/>
          <w:numId w:val="1"/>
        </w:numPr>
        <w:spacing w:after="80"/>
      </w:pPr>
      <w:r>
        <w:rPr>
          <w:rFonts w:ascii="Arial" w:hAnsi="Arial" w:eastAsia="Arial" w:cs="Arial"/>
          <w:b/>
          <w:bCs/>
          <w:sz w:val="22"/>
          <w:szCs w:val="22"/>
        </w:rPr>
        <w:t xml:space="preserve">"Pakistan’s first AI tutor that speaks Urdu and knows your syllabus." </w:t>
      </w:r>
      <w:r>
        <w:rPr>
          <w:rFonts w:ascii="Arial" w:hAnsi="Arial" w:eastAsia="Arial" w:cs="Arial"/>
          <w:sz w:val="22"/>
          <w:szCs w:val="22"/>
        </w:rPr>
        <w:t>Khanmigo and Century Tech don’t. Maqsad and Taleemabad aren’t AI. Clear white space.</w:t>
      </w:r>
    </w:p>
    <w:p w14:paraId="2F8B1D9F">
      <w:pPr>
        <w:pStyle w:val="14"/>
        <w:numPr>
          <w:ilvl w:val="0"/>
          <w:numId w:val="1"/>
        </w:numPr>
        <w:spacing w:after="80"/>
      </w:pPr>
      <w:r>
        <w:rPr>
          <w:rFonts w:ascii="Arial" w:hAnsi="Arial" w:eastAsia="Arial" w:cs="Arial"/>
          <w:b/>
          <w:bCs/>
          <w:sz w:val="22"/>
          <w:szCs w:val="22"/>
        </w:rPr>
        <w:t xml:space="preserve">"One platform that replaces five." </w:t>
      </w:r>
      <w:r>
        <w:rPr>
          <w:rFonts w:ascii="Arial" w:hAnsi="Arial" w:eastAsia="Arial" w:cs="Arial"/>
          <w:sz w:val="22"/>
          <w:szCs w:val="22"/>
        </w:rPr>
        <w:t>For the government buyer: AI tutoring + lesson generation + attendance + grading + admin in a single contract. Simplifies procurement.</w:t>
      </w:r>
    </w:p>
    <w:p w14:paraId="6E99F716">
      <w:pPr>
        <w:pStyle w:val="3"/>
        <w:spacing w:before="0" w:after="120"/>
      </w:pPr>
      <w:r>
        <w:rPr>
          <w:rFonts w:ascii="Arial" w:hAnsi="Arial" w:eastAsia="Arial" w:cs="Arial"/>
          <w:color w:val="333333"/>
          <w:sz w:val="22"/>
          <w:szCs w:val="22"/>
        </w:rPr>
        <w:t>Who We Compete Against by Buyer Persona</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3510"/>
        <w:gridCol w:w="3510"/>
      </w:tblGrid>
      <w:tr w14:paraId="753F9011">
        <w:tc>
          <w:tcPr>
            <w:tcW w:w="2340" w:type="dxa"/>
            <w:tcBorders>
              <w:top w:val="single" w:color="CCCCCC" w:sz="0" w:space="0"/>
              <w:left w:val="single" w:color="CCCCCC" w:sz="0" w:space="0"/>
              <w:bottom w:val="single" w:color="CCCCCC" w:sz="0" w:space="0"/>
              <w:right w:val="single" w:color="CCCCCC" w:sz="0" w:space="0"/>
            </w:tcBorders>
            <w:shd w:val="clear" w:color="auto" w:fill="1B4F72"/>
            <w:tcMar>
              <w:top w:w="80" w:type="dxa"/>
              <w:left w:w="120" w:type="dxa"/>
              <w:bottom w:w="80" w:type="dxa"/>
              <w:right w:w="120" w:type="dxa"/>
            </w:tcMar>
            <w:vAlign w:val="center"/>
          </w:tcPr>
          <w:p w14:paraId="3FF7840B">
            <w:pPr>
              <w:spacing w:after="0"/>
            </w:pPr>
            <w:r>
              <w:rPr>
                <w:rFonts w:ascii="Arial" w:hAnsi="Arial" w:eastAsia="Arial" w:cs="Arial"/>
                <w:b/>
                <w:bCs/>
                <w:color w:val="FFFFFF"/>
                <w:sz w:val="20"/>
                <w:szCs w:val="20"/>
              </w:rPr>
              <w:t>Buyer</w:t>
            </w:r>
          </w:p>
        </w:tc>
        <w:tc>
          <w:tcPr>
            <w:tcW w:w="3510" w:type="dxa"/>
            <w:tcBorders>
              <w:top w:val="single" w:color="CCCCCC" w:sz="0" w:space="0"/>
              <w:left w:val="single" w:color="CCCCCC" w:sz="0" w:space="0"/>
              <w:bottom w:val="single" w:color="CCCCCC" w:sz="0" w:space="0"/>
              <w:right w:val="single" w:color="CCCCCC" w:sz="0" w:space="0"/>
            </w:tcBorders>
            <w:shd w:val="clear" w:color="auto" w:fill="1B4F72"/>
            <w:tcMar>
              <w:top w:w="80" w:type="dxa"/>
              <w:left w:w="120" w:type="dxa"/>
              <w:bottom w:w="80" w:type="dxa"/>
              <w:right w:w="120" w:type="dxa"/>
            </w:tcMar>
            <w:vAlign w:val="center"/>
          </w:tcPr>
          <w:p w14:paraId="50C21AC5">
            <w:pPr>
              <w:spacing w:after="0"/>
            </w:pPr>
            <w:r>
              <w:rPr>
                <w:rFonts w:ascii="Arial" w:hAnsi="Arial" w:eastAsia="Arial" w:cs="Arial"/>
                <w:b/>
                <w:bCs/>
                <w:color w:val="FFFFFF"/>
                <w:sz w:val="20"/>
                <w:szCs w:val="20"/>
              </w:rPr>
              <w:t>What They Compare Us To</w:t>
            </w:r>
          </w:p>
        </w:tc>
        <w:tc>
          <w:tcPr>
            <w:tcW w:w="3510" w:type="dxa"/>
            <w:tcBorders>
              <w:top w:val="single" w:color="CCCCCC" w:sz="0" w:space="0"/>
              <w:left w:val="single" w:color="CCCCCC" w:sz="0" w:space="0"/>
              <w:bottom w:val="single" w:color="CCCCCC" w:sz="0" w:space="0"/>
              <w:right w:val="single" w:color="CCCCCC" w:sz="0" w:space="0"/>
            </w:tcBorders>
            <w:shd w:val="clear" w:color="auto" w:fill="1B4F72"/>
            <w:tcMar>
              <w:top w:w="80" w:type="dxa"/>
              <w:left w:w="120" w:type="dxa"/>
              <w:bottom w:w="80" w:type="dxa"/>
              <w:right w:w="120" w:type="dxa"/>
            </w:tcMar>
            <w:vAlign w:val="center"/>
          </w:tcPr>
          <w:p w14:paraId="04410862">
            <w:pPr>
              <w:spacing w:after="0"/>
            </w:pPr>
            <w:r>
              <w:rPr>
                <w:rFonts w:ascii="Arial" w:hAnsi="Arial" w:eastAsia="Arial" w:cs="Arial"/>
                <w:b/>
                <w:bCs/>
                <w:color w:val="FFFFFF"/>
                <w:sz w:val="20"/>
                <w:szCs w:val="20"/>
              </w:rPr>
              <w:t>Our Angle</w:t>
            </w:r>
          </w:p>
        </w:tc>
      </w:tr>
      <w:tr w14:paraId="242E410A">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6F797B0">
            <w:pPr>
              <w:spacing w:after="0"/>
            </w:pPr>
            <w:r>
              <w:rPr>
                <w:rFonts w:ascii="Arial" w:hAnsi="Arial" w:eastAsia="Arial" w:cs="Arial"/>
                <w:b/>
                <w:bCs/>
                <w:color w:val="333333"/>
                <w:sz w:val="20"/>
                <w:szCs w:val="20"/>
              </w:rPr>
              <w:t>Provincial Secretary</w:t>
            </w:r>
          </w:p>
        </w:tc>
        <w:tc>
          <w:tcPr>
            <w:tcW w:w="351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CBF3B97">
            <w:pPr>
              <w:spacing w:after="0"/>
            </w:pPr>
            <w:r>
              <w:rPr>
                <w:rFonts w:ascii="Arial" w:hAnsi="Arial" w:eastAsia="Arial" w:cs="Arial"/>
                <w:b w:val="0"/>
                <w:bCs w:val="0"/>
                <w:color w:val="333333"/>
                <w:sz w:val="20"/>
                <w:szCs w:val="20"/>
              </w:rPr>
              <w:t>Status quo (paper-based) + Taleemabad’s government track record</w:t>
            </w:r>
          </w:p>
        </w:tc>
        <w:tc>
          <w:tcPr>
            <w:tcW w:w="351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270E6C6F">
            <w:pPr>
              <w:spacing w:after="0"/>
            </w:pPr>
            <w:r>
              <w:rPr>
                <w:rFonts w:ascii="Arial" w:hAnsi="Arial" w:eastAsia="Arial" w:cs="Arial"/>
                <w:b w:val="0"/>
                <w:bCs w:val="0"/>
                <w:color w:val="333333"/>
                <w:sz w:val="20"/>
                <w:szCs w:val="20"/>
              </w:rPr>
              <w:t>AI-powered outcomes + all-in-one platform = fewer vendors, better reporting</w:t>
            </w:r>
          </w:p>
        </w:tc>
      </w:tr>
      <w:tr w14:paraId="03B0BE9B">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203EF6E">
            <w:pPr>
              <w:spacing w:after="0"/>
            </w:pPr>
            <w:r>
              <w:rPr>
                <w:rFonts w:ascii="Arial" w:hAnsi="Arial" w:eastAsia="Arial" w:cs="Arial"/>
                <w:b/>
                <w:bCs/>
                <w:color w:val="333333"/>
                <w:sz w:val="20"/>
                <w:szCs w:val="20"/>
              </w:rPr>
              <w:t>School Principal</w:t>
            </w:r>
          </w:p>
        </w:tc>
        <w:tc>
          <w:tcPr>
            <w:tcW w:w="351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262ACA5B">
            <w:pPr>
              <w:spacing w:after="0"/>
            </w:pPr>
            <w:r>
              <w:rPr>
                <w:rFonts w:ascii="Arial" w:hAnsi="Arial" w:eastAsia="Arial" w:cs="Arial"/>
                <w:b w:val="0"/>
                <w:bCs w:val="0"/>
                <w:color w:val="333333"/>
                <w:sz w:val="20"/>
                <w:szCs w:val="20"/>
              </w:rPr>
              <w:t>Existing SMS (Ilmversity, ESM, OurSchoolSoftware)</w:t>
            </w:r>
          </w:p>
        </w:tc>
        <w:tc>
          <w:tcPr>
            <w:tcW w:w="351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482FDE1">
            <w:pPr>
              <w:spacing w:after="0"/>
            </w:pPr>
            <w:r>
              <w:rPr>
                <w:rFonts w:ascii="Arial" w:hAnsi="Arial" w:eastAsia="Arial" w:cs="Arial"/>
                <w:b w:val="0"/>
                <w:bCs w:val="0"/>
                <w:color w:val="333333"/>
                <w:sz w:val="20"/>
                <w:szCs w:val="20"/>
              </w:rPr>
              <w:t>Same admin features PLUS AI teaching tools = visible classroom impact</w:t>
            </w:r>
          </w:p>
        </w:tc>
      </w:tr>
      <w:tr w14:paraId="66AE24BE">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835A13F">
            <w:pPr>
              <w:spacing w:after="0"/>
            </w:pPr>
            <w:r>
              <w:rPr>
                <w:rFonts w:ascii="Arial" w:hAnsi="Arial" w:eastAsia="Arial" w:cs="Arial"/>
                <w:b/>
                <w:bCs/>
                <w:color w:val="333333"/>
                <w:sz w:val="20"/>
                <w:szCs w:val="20"/>
              </w:rPr>
              <w:t>Teacher</w:t>
            </w:r>
          </w:p>
        </w:tc>
        <w:tc>
          <w:tcPr>
            <w:tcW w:w="351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3DE59AA">
            <w:pPr>
              <w:spacing w:after="0"/>
            </w:pPr>
            <w:r>
              <w:rPr>
                <w:rFonts w:ascii="Arial" w:hAnsi="Arial" w:eastAsia="Arial" w:cs="Arial"/>
                <w:b w:val="0"/>
                <w:bCs w:val="0"/>
                <w:color w:val="333333"/>
                <w:sz w:val="20"/>
                <w:szCs w:val="20"/>
              </w:rPr>
              <w:t>Generic ChatGPT or nothing at all</w:t>
            </w:r>
          </w:p>
        </w:tc>
        <w:tc>
          <w:tcPr>
            <w:tcW w:w="351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4C549C54">
            <w:pPr>
              <w:spacing w:after="0"/>
            </w:pPr>
            <w:r>
              <w:rPr>
                <w:rFonts w:ascii="Arial" w:hAnsi="Arial" w:eastAsia="Arial" w:cs="Arial"/>
                <w:b w:val="0"/>
                <w:bCs w:val="0"/>
                <w:color w:val="333333"/>
                <w:sz w:val="20"/>
                <w:szCs w:val="20"/>
              </w:rPr>
              <w:t>Purpose-built for Pakistani teachers: upload your book, get your lesson, in Urdu</w:t>
            </w:r>
          </w:p>
        </w:tc>
      </w:tr>
      <w:tr w14:paraId="489218CA">
        <w:tc>
          <w:tcPr>
            <w:tcW w:w="23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510684A">
            <w:pPr>
              <w:spacing w:after="0"/>
            </w:pPr>
            <w:r>
              <w:rPr>
                <w:rFonts w:ascii="Arial" w:hAnsi="Arial" w:eastAsia="Arial" w:cs="Arial"/>
                <w:b/>
                <w:bCs/>
                <w:color w:val="333333"/>
                <w:sz w:val="20"/>
                <w:szCs w:val="20"/>
              </w:rPr>
              <w:t>International Donor</w:t>
            </w:r>
          </w:p>
        </w:tc>
        <w:tc>
          <w:tcPr>
            <w:tcW w:w="351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4AEE5B1">
            <w:pPr>
              <w:spacing w:after="0"/>
            </w:pPr>
            <w:r>
              <w:rPr>
                <w:rFonts w:ascii="Arial" w:hAnsi="Arial" w:eastAsia="Arial" w:cs="Arial"/>
                <w:b w:val="0"/>
                <w:bCs w:val="0"/>
                <w:color w:val="333333"/>
                <w:sz w:val="20"/>
                <w:szCs w:val="20"/>
              </w:rPr>
              <w:t>Khanmigo, Century Tech, other global edtech</w:t>
            </w:r>
          </w:p>
        </w:tc>
        <w:tc>
          <w:tcPr>
            <w:tcW w:w="351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838ACBD">
            <w:pPr>
              <w:spacing w:after="0"/>
            </w:pPr>
            <w:r>
              <w:rPr>
                <w:rFonts w:ascii="Arial" w:hAnsi="Arial" w:eastAsia="Arial" w:cs="Arial"/>
                <w:b w:val="0"/>
                <w:bCs w:val="0"/>
                <w:color w:val="333333"/>
                <w:sz w:val="20"/>
                <w:szCs w:val="20"/>
              </w:rPr>
              <w:t>Locally built, locally relevant, government-endorsed, measurable outcomes</w:t>
            </w:r>
          </w:p>
        </w:tc>
      </w:tr>
    </w:tbl>
    <w:p w14:paraId="43E2760D">
      <w:r>
        <w:br w:type="page"/>
      </w:r>
    </w:p>
    <w:p w14:paraId="1FC3C6A5">
      <w:pPr>
        <w:pStyle w:val="2"/>
        <w:spacing w:before="0" w:after="120"/>
      </w:pPr>
      <w:bookmarkStart w:id="7" w:name="_Toc2031714447"/>
      <w:r>
        <w:rPr>
          <w:rFonts w:ascii="Arial" w:hAnsi="Arial" w:eastAsia="Arial" w:cs="Arial"/>
          <w:color w:val="333333"/>
          <w:sz w:val="22"/>
          <w:szCs w:val="22"/>
        </w:rPr>
        <w:t>Recommended Next Steps</w:t>
      </w:r>
      <w:bookmarkEnd w:id="7"/>
    </w:p>
    <w:p w14:paraId="11689170">
      <w:pPr>
        <w:spacing w:before="0" w:after="120"/>
      </w:pPr>
      <w:r>
        <w:rPr>
          <w:rFonts w:ascii="Arial" w:hAnsi="Arial" w:eastAsia="Arial" w:cs="Arial"/>
          <w:color w:val="333333"/>
          <w:sz w:val="22"/>
          <w:szCs w:val="22"/>
        </w:rPr>
        <w:t>This competitor and market analysis feeds directly into the following product strategy workstreams: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3560"/>
        <w:gridCol w:w="2500"/>
        <w:gridCol w:w="2500"/>
      </w:tblGrid>
      <w:tr w14:paraId="2391074A">
        <w:tc>
          <w:tcPr>
            <w:tcW w:w="800" w:type="dxa"/>
            <w:tcBorders>
              <w:top w:val="single" w:color="CCCCCC" w:sz="0" w:space="0"/>
              <w:left w:val="single" w:color="CCCCCC" w:sz="0" w:space="0"/>
              <w:bottom w:val="single" w:color="CCCCCC" w:sz="0" w:space="0"/>
              <w:right w:val="single" w:color="CCCCCC" w:sz="0" w:space="0"/>
            </w:tcBorders>
            <w:shd w:val="clear" w:color="auto" w:fill="1B4F72"/>
            <w:tcMar>
              <w:top w:w="80" w:type="dxa"/>
              <w:left w:w="120" w:type="dxa"/>
              <w:bottom w:w="80" w:type="dxa"/>
              <w:right w:w="120" w:type="dxa"/>
            </w:tcMar>
            <w:vAlign w:val="center"/>
          </w:tcPr>
          <w:p w14:paraId="2E004018">
            <w:pPr>
              <w:spacing w:after="0"/>
            </w:pPr>
            <w:r>
              <w:rPr>
                <w:rFonts w:ascii="Arial" w:hAnsi="Arial" w:eastAsia="Arial" w:cs="Arial"/>
                <w:b/>
                <w:bCs/>
                <w:color w:val="FFFFFF"/>
                <w:sz w:val="20"/>
                <w:szCs w:val="20"/>
              </w:rPr>
              <w:t>#</w:t>
            </w:r>
          </w:p>
        </w:tc>
        <w:tc>
          <w:tcPr>
            <w:tcW w:w="3560" w:type="dxa"/>
            <w:tcBorders>
              <w:top w:val="single" w:color="CCCCCC" w:sz="0" w:space="0"/>
              <w:left w:val="single" w:color="CCCCCC" w:sz="0" w:space="0"/>
              <w:bottom w:val="single" w:color="CCCCCC" w:sz="0" w:space="0"/>
              <w:right w:val="single" w:color="CCCCCC" w:sz="0" w:space="0"/>
            </w:tcBorders>
            <w:shd w:val="clear" w:color="auto" w:fill="1B4F72"/>
            <w:tcMar>
              <w:top w:w="80" w:type="dxa"/>
              <w:left w:w="120" w:type="dxa"/>
              <w:bottom w:w="80" w:type="dxa"/>
              <w:right w:w="120" w:type="dxa"/>
            </w:tcMar>
            <w:vAlign w:val="center"/>
          </w:tcPr>
          <w:p w14:paraId="201D663D">
            <w:pPr>
              <w:spacing w:after="0"/>
            </w:pPr>
            <w:r>
              <w:rPr>
                <w:rFonts w:ascii="Arial" w:hAnsi="Arial" w:eastAsia="Arial" w:cs="Arial"/>
                <w:b/>
                <w:bCs/>
                <w:color w:val="FFFFFF"/>
                <w:sz w:val="20"/>
                <w:szCs w:val="20"/>
              </w:rPr>
              <w:t>Workstream</w:t>
            </w:r>
          </w:p>
        </w:tc>
        <w:tc>
          <w:tcPr>
            <w:tcW w:w="2500" w:type="dxa"/>
            <w:tcBorders>
              <w:top w:val="single" w:color="CCCCCC" w:sz="0" w:space="0"/>
              <w:left w:val="single" w:color="CCCCCC" w:sz="0" w:space="0"/>
              <w:bottom w:val="single" w:color="CCCCCC" w:sz="0" w:space="0"/>
              <w:right w:val="single" w:color="CCCCCC" w:sz="0" w:space="0"/>
            </w:tcBorders>
            <w:shd w:val="clear" w:color="auto" w:fill="1B4F72"/>
            <w:tcMar>
              <w:top w:w="80" w:type="dxa"/>
              <w:left w:w="120" w:type="dxa"/>
              <w:bottom w:w="80" w:type="dxa"/>
              <w:right w:w="120" w:type="dxa"/>
            </w:tcMar>
            <w:vAlign w:val="center"/>
          </w:tcPr>
          <w:p w14:paraId="1518BE93">
            <w:pPr>
              <w:spacing w:after="0"/>
            </w:pPr>
            <w:r>
              <w:rPr>
                <w:rFonts w:ascii="Arial" w:hAnsi="Arial" w:eastAsia="Arial" w:cs="Arial"/>
                <w:b/>
                <w:bCs/>
                <w:color w:val="FFFFFF"/>
                <w:sz w:val="20"/>
                <w:szCs w:val="20"/>
              </w:rPr>
              <w:t>Depends On</w:t>
            </w:r>
          </w:p>
        </w:tc>
        <w:tc>
          <w:tcPr>
            <w:tcW w:w="2500" w:type="dxa"/>
            <w:tcBorders>
              <w:top w:val="single" w:color="CCCCCC" w:sz="0" w:space="0"/>
              <w:left w:val="single" w:color="CCCCCC" w:sz="0" w:space="0"/>
              <w:bottom w:val="single" w:color="CCCCCC" w:sz="0" w:space="0"/>
              <w:right w:val="single" w:color="CCCCCC" w:sz="0" w:space="0"/>
            </w:tcBorders>
            <w:shd w:val="clear" w:color="auto" w:fill="1B4F72"/>
            <w:tcMar>
              <w:top w:w="80" w:type="dxa"/>
              <w:left w:w="120" w:type="dxa"/>
              <w:bottom w:w="80" w:type="dxa"/>
              <w:right w:w="120" w:type="dxa"/>
            </w:tcMar>
            <w:vAlign w:val="center"/>
          </w:tcPr>
          <w:p w14:paraId="5927BCC9">
            <w:pPr>
              <w:spacing w:after="0"/>
            </w:pPr>
            <w:r>
              <w:rPr>
                <w:rFonts w:ascii="Arial" w:hAnsi="Arial" w:eastAsia="Arial" w:cs="Arial"/>
                <w:b/>
                <w:bCs/>
                <w:color w:val="FFFFFF"/>
                <w:sz w:val="20"/>
                <w:szCs w:val="20"/>
              </w:rPr>
              <w:t>Est. Time</w:t>
            </w:r>
          </w:p>
        </w:tc>
      </w:tr>
      <w:tr w14:paraId="49436AB3">
        <w:tc>
          <w:tcPr>
            <w:tcW w:w="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0994322">
            <w:pPr>
              <w:spacing w:after="0"/>
            </w:pPr>
            <w:r>
              <w:rPr>
                <w:rFonts w:ascii="Arial" w:hAnsi="Arial" w:eastAsia="Arial" w:cs="Arial"/>
                <w:b/>
                <w:bCs/>
                <w:color w:val="333333"/>
                <w:sz w:val="20"/>
                <w:szCs w:val="20"/>
              </w:rPr>
              <w:t>1</w:t>
            </w:r>
          </w:p>
        </w:tc>
        <w:tc>
          <w:tcPr>
            <w:tcW w:w="3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0BBAB74">
            <w:pPr>
              <w:spacing w:after="0"/>
            </w:pPr>
            <w:r>
              <w:rPr>
                <w:rFonts w:ascii="Arial" w:hAnsi="Arial" w:eastAsia="Arial" w:cs="Arial"/>
                <w:b w:val="0"/>
                <w:bCs w:val="0"/>
                <w:color w:val="333333"/>
                <w:sz w:val="20"/>
                <w:szCs w:val="20"/>
              </w:rPr>
              <w:t>ICP + Persona Definition</w:t>
            </w:r>
          </w:p>
        </w:tc>
        <w:tc>
          <w:tcPr>
            <w:tcW w:w="25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47541803">
            <w:pPr>
              <w:spacing w:after="0"/>
            </w:pPr>
            <w:r>
              <w:rPr>
                <w:rFonts w:ascii="Arial" w:hAnsi="Arial" w:eastAsia="Arial" w:cs="Arial"/>
                <w:b w:val="0"/>
                <w:bCs w:val="0"/>
                <w:color w:val="333333"/>
                <w:sz w:val="20"/>
                <w:szCs w:val="20"/>
              </w:rPr>
              <w:t>This document</w:t>
            </w:r>
          </w:p>
        </w:tc>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C539846">
            <w:pPr>
              <w:spacing w:after="0"/>
            </w:pPr>
            <w:r>
              <w:rPr>
                <w:rFonts w:ascii="Arial" w:hAnsi="Arial" w:eastAsia="Arial" w:cs="Arial"/>
                <w:b w:val="0"/>
                <w:bCs w:val="0"/>
                <w:color w:val="333333"/>
                <w:sz w:val="20"/>
                <w:szCs w:val="20"/>
              </w:rPr>
              <w:t>1 week</w:t>
            </w:r>
          </w:p>
        </w:tc>
      </w:tr>
      <w:tr w14:paraId="5BDAC308">
        <w:tc>
          <w:tcPr>
            <w:tcW w:w="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353BF45">
            <w:pPr>
              <w:spacing w:after="0"/>
            </w:pPr>
            <w:r>
              <w:rPr>
                <w:rFonts w:ascii="Arial" w:hAnsi="Arial" w:eastAsia="Arial" w:cs="Arial"/>
                <w:b/>
                <w:bCs/>
                <w:color w:val="333333"/>
                <w:sz w:val="20"/>
                <w:szCs w:val="20"/>
              </w:rPr>
              <w:t>2</w:t>
            </w:r>
          </w:p>
        </w:tc>
        <w:tc>
          <w:tcPr>
            <w:tcW w:w="3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7CF6A517">
            <w:pPr>
              <w:spacing w:after="0"/>
            </w:pPr>
            <w:r>
              <w:rPr>
                <w:rFonts w:ascii="Arial" w:hAnsi="Arial" w:eastAsia="Arial" w:cs="Arial"/>
                <w:b w:val="0"/>
                <w:bCs w:val="0"/>
                <w:color w:val="333333"/>
                <w:sz w:val="20"/>
                <w:szCs w:val="20"/>
              </w:rPr>
              <w:t>USP Validation (interviews with 5-10 teachers + 3-5 principals)</w:t>
            </w:r>
          </w:p>
        </w:tc>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A0559AA">
            <w:pPr>
              <w:spacing w:after="0"/>
            </w:pPr>
            <w:r>
              <w:rPr>
                <w:rFonts w:ascii="Arial" w:hAnsi="Arial" w:eastAsia="Arial" w:cs="Arial"/>
                <w:b w:val="0"/>
                <w:bCs w:val="0"/>
                <w:color w:val="333333"/>
                <w:sz w:val="20"/>
                <w:szCs w:val="20"/>
              </w:rPr>
              <w:t>#1</w:t>
            </w:r>
          </w:p>
        </w:tc>
        <w:tc>
          <w:tcPr>
            <w:tcW w:w="25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5C009915">
            <w:pPr>
              <w:spacing w:after="0"/>
            </w:pPr>
            <w:r>
              <w:rPr>
                <w:rFonts w:ascii="Arial" w:hAnsi="Arial" w:eastAsia="Arial" w:cs="Arial"/>
                <w:b w:val="0"/>
                <w:bCs w:val="0"/>
                <w:color w:val="333333"/>
                <w:sz w:val="20"/>
                <w:szCs w:val="20"/>
              </w:rPr>
              <w:t>2 weeks</w:t>
            </w:r>
          </w:p>
        </w:tc>
      </w:tr>
      <w:tr w14:paraId="0558EB63">
        <w:tc>
          <w:tcPr>
            <w:tcW w:w="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A19A6C6">
            <w:pPr>
              <w:spacing w:after="0"/>
            </w:pPr>
            <w:r>
              <w:rPr>
                <w:rFonts w:ascii="Arial" w:hAnsi="Arial" w:eastAsia="Arial" w:cs="Arial"/>
                <w:b/>
                <w:bCs/>
                <w:color w:val="333333"/>
                <w:sz w:val="20"/>
                <w:szCs w:val="20"/>
              </w:rPr>
              <w:t>3</w:t>
            </w:r>
          </w:p>
        </w:tc>
        <w:tc>
          <w:tcPr>
            <w:tcW w:w="3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0F3F746">
            <w:pPr>
              <w:spacing w:after="0"/>
            </w:pPr>
            <w:r>
              <w:rPr>
                <w:rFonts w:ascii="Arial" w:hAnsi="Arial" w:eastAsia="Arial" w:cs="Arial"/>
                <w:b w:val="0"/>
                <w:bCs w:val="0"/>
                <w:color w:val="333333"/>
                <w:sz w:val="20"/>
                <w:szCs w:val="20"/>
              </w:rPr>
              <w:t>MVP Feature Prioritization</w:t>
            </w:r>
          </w:p>
        </w:tc>
        <w:tc>
          <w:tcPr>
            <w:tcW w:w="25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60DBAFAA">
            <w:pPr>
              <w:spacing w:after="0"/>
            </w:pPr>
            <w:r>
              <w:rPr>
                <w:rFonts w:ascii="Arial" w:hAnsi="Arial" w:eastAsia="Arial" w:cs="Arial"/>
                <w:b w:val="0"/>
                <w:bCs w:val="0"/>
                <w:color w:val="333333"/>
                <w:sz w:val="20"/>
                <w:szCs w:val="20"/>
              </w:rPr>
              <w:t>#1 + #2</w:t>
            </w:r>
          </w:p>
        </w:tc>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5894D17">
            <w:pPr>
              <w:spacing w:after="0"/>
            </w:pPr>
            <w:r>
              <w:rPr>
                <w:rFonts w:ascii="Arial" w:hAnsi="Arial" w:eastAsia="Arial" w:cs="Arial"/>
                <w:b w:val="0"/>
                <w:bCs w:val="0"/>
                <w:color w:val="333333"/>
                <w:sz w:val="20"/>
                <w:szCs w:val="20"/>
              </w:rPr>
              <w:t>1 week</w:t>
            </w:r>
          </w:p>
        </w:tc>
      </w:tr>
      <w:tr w14:paraId="00213E27">
        <w:tc>
          <w:tcPr>
            <w:tcW w:w="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1DC7F05">
            <w:pPr>
              <w:spacing w:after="0"/>
            </w:pPr>
            <w:r>
              <w:rPr>
                <w:rFonts w:ascii="Arial" w:hAnsi="Arial" w:eastAsia="Arial" w:cs="Arial"/>
                <w:b/>
                <w:bCs/>
                <w:color w:val="333333"/>
                <w:sz w:val="20"/>
                <w:szCs w:val="20"/>
              </w:rPr>
              <w:t>4</w:t>
            </w:r>
          </w:p>
        </w:tc>
        <w:tc>
          <w:tcPr>
            <w:tcW w:w="3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2408F34D">
            <w:pPr>
              <w:spacing w:after="0"/>
            </w:pPr>
            <w:r>
              <w:rPr>
                <w:rFonts w:ascii="Arial" w:hAnsi="Arial" w:eastAsia="Arial" w:cs="Arial"/>
                <w:b w:val="0"/>
                <w:bCs w:val="0"/>
                <w:color w:val="333333"/>
                <w:sz w:val="20"/>
                <w:szCs w:val="20"/>
              </w:rPr>
              <w:t>Positioning &amp; Messaging Framework</w:t>
            </w:r>
          </w:p>
        </w:tc>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EFA8972">
            <w:pPr>
              <w:spacing w:after="0"/>
            </w:pPr>
            <w:r>
              <w:rPr>
                <w:rFonts w:ascii="Arial" w:hAnsi="Arial" w:eastAsia="Arial" w:cs="Arial"/>
                <w:b w:val="0"/>
                <w:bCs w:val="0"/>
                <w:color w:val="333333"/>
                <w:sz w:val="20"/>
                <w:szCs w:val="20"/>
              </w:rPr>
              <w:t>#2 + #3</w:t>
            </w:r>
          </w:p>
        </w:tc>
        <w:tc>
          <w:tcPr>
            <w:tcW w:w="25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09565F74">
            <w:pPr>
              <w:spacing w:after="0"/>
            </w:pPr>
            <w:r>
              <w:rPr>
                <w:rFonts w:ascii="Arial" w:hAnsi="Arial" w:eastAsia="Arial" w:cs="Arial"/>
                <w:b w:val="0"/>
                <w:bCs w:val="0"/>
                <w:color w:val="333333"/>
                <w:sz w:val="20"/>
                <w:szCs w:val="20"/>
              </w:rPr>
              <w:t>1 week</w:t>
            </w:r>
          </w:p>
        </w:tc>
      </w:tr>
      <w:tr w14:paraId="75DFCBB8">
        <w:tc>
          <w:tcPr>
            <w:tcW w:w="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393283C">
            <w:pPr>
              <w:spacing w:after="0"/>
            </w:pPr>
            <w:r>
              <w:rPr>
                <w:rFonts w:ascii="Arial" w:hAnsi="Arial" w:eastAsia="Arial" w:cs="Arial"/>
                <w:b/>
                <w:bCs/>
                <w:color w:val="333333"/>
                <w:sz w:val="20"/>
                <w:szCs w:val="20"/>
              </w:rPr>
              <w:t>5</w:t>
            </w:r>
          </w:p>
        </w:tc>
        <w:tc>
          <w:tcPr>
            <w:tcW w:w="3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D2B699A">
            <w:pPr>
              <w:spacing w:after="0"/>
            </w:pPr>
            <w:r>
              <w:rPr>
                <w:rFonts w:ascii="Arial" w:hAnsi="Arial" w:eastAsia="Arial" w:cs="Arial"/>
                <w:b w:val="0"/>
                <w:bCs w:val="0"/>
                <w:color w:val="333333"/>
                <w:sz w:val="20"/>
                <w:szCs w:val="20"/>
              </w:rPr>
              <w:t>Go-to-Market Plan (pilot design + government engagement strategy)</w:t>
            </w:r>
          </w:p>
        </w:tc>
        <w:tc>
          <w:tcPr>
            <w:tcW w:w="25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1216B177">
            <w:pPr>
              <w:spacing w:after="0"/>
            </w:pPr>
            <w:r>
              <w:rPr>
                <w:rFonts w:ascii="Arial" w:hAnsi="Arial" w:eastAsia="Arial" w:cs="Arial"/>
                <w:b w:val="0"/>
                <w:bCs w:val="0"/>
                <w:color w:val="333333"/>
                <w:sz w:val="20"/>
                <w:szCs w:val="20"/>
              </w:rPr>
              <w:t>#4</w:t>
            </w:r>
          </w:p>
        </w:tc>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B5B807A">
            <w:pPr>
              <w:spacing w:after="0"/>
            </w:pPr>
            <w:r>
              <w:rPr>
                <w:rFonts w:ascii="Arial" w:hAnsi="Arial" w:eastAsia="Arial" w:cs="Arial"/>
                <w:b w:val="0"/>
                <w:bCs w:val="0"/>
                <w:color w:val="333333"/>
                <w:sz w:val="20"/>
                <w:szCs w:val="20"/>
              </w:rPr>
              <w:t>2 weeks</w:t>
            </w:r>
          </w:p>
        </w:tc>
      </w:tr>
      <w:tr w14:paraId="2C0F0F84">
        <w:tc>
          <w:tcPr>
            <w:tcW w:w="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76DB545">
            <w:pPr>
              <w:spacing w:after="0"/>
            </w:pPr>
            <w:r>
              <w:rPr>
                <w:rFonts w:ascii="Arial" w:hAnsi="Arial" w:eastAsia="Arial" w:cs="Arial"/>
                <w:b/>
                <w:bCs/>
                <w:color w:val="333333"/>
                <w:sz w:val="20"/>
                <w:szCs w:val="20"/>
              </w:rPr>
              <w:t>6</w:t>
            </w:r>
          </w:p>
        </w:tc>
        <w:tc>
          <w:tcPr>
            <w:tcW w:w="3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5B112AEE">
            <w:pPr>
              <w:spacing w:after="0"/>
            </w:pPr>
            <w:r>
              <w:rPr>
                <w:rFonts w:ascii="Arial" w:hAnsi="Arial" w:eastAsia="Arial" w:cs="Arial"/>
                <w:b w:val="0"/>
                <w:bCs w:val="0"/>
                <w:color w:val="333333"/>
                <w:sz w:val="20"/>
                <w:szCs w:val="20"/>
              </w:rPr>
              <w:t>Pilot Program Launch (50-100 schools in one district)</w:t>
            </w:r>
          </w:p>
        </w:tc>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B13D5C2">
            <w:pPr>
              <w:spacing w:after="0"/>
            </w:pPr>
            <w:r>
              <w:rPr>
                <w:rFonts w:ascii="Arial" w:hAnsi="Arial" w:eastAsia="Arial" w:cs="Arial"/>
                <w:b w:val="0"/>
                <w:bCs w:val="0"/>
                <w:color w:val="333333"/>
                <w:sz w:val="20"/>
                <w:szCs w:val="20"/>
              </w:rPr>
              <w:t>#5 + tech readiness</w:t>
            </w:r>
          </w:p>
        </w:tc>
        <w:tc>
          <w:tcPr>
            <w:tcW w:w="25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vAlign w:val="center"/>
          </w:tcPr>
          <w:p w14:paraId="6611DA98">
            <w:pPr>
              <w:spacing w:after="0"/>
            </w:pPr>
            <w:r>
              <w:rPr>
                <w:rFonts w:ascii="Arial" w:hAnsi="Arial" w:eastAsia="Arial" w:cs="Arial"/>
                <w:b w:val="0"/>
                <w:bCs w:val="0"/>
                <w:color w:val="333333"/>
                <w:sz w:val="20"/>
                <w:szCs w:val="20"/>
              </w:rPr>
              <w:t>4-8 weeks</w:t>
            </w:r>
          </w:p>
        </w:tc>
      </w:tr>
    </w:tbl>
    <w:p w14:paraId="0C547E74">
      <w:pPr>
        <w:spacing w:before="0" w:after="120"/>
      </w:pPr>
    </w:p>
    <w:p w14:paraId="2E8B6C16">
      <w:pPr>
        <w:pBdr>
          <w:left w:val="single" w:color="2E86C1" w:sz="12" w:space="8"/>
        </w:pBdr>
        <w:spacing w:before="120" w:after="120"/>
        <w:ind w:left="360"/>
      </w:pPr>
      <w:r>
        <w:rPr>
          <w:rFonts w:ascii="Arial" w:hAnsi="Arial" w:eastAsia="Arial" w:cs="Arial"/>
          <w:i/>
          <w:iCs/>
          <w:color w:val="1B4F72"/>
          <w:sz w:val="22"/>
          <w:szCs w:val="22"/>
        </w:rPr>
        <w:t>Immediate action: Start the ICP + Persona Definition work (workstream #1) while the competitive landscape insights from this document are fresh. The personas will directly shape which USP angles to test with real users.</w:t>
      </w:r>
    </w:p>
    <w:p w14:paraId="6FBA8A5D">
      <w:pPr>
        <w:pStyle w:val="2"/>
        <w:spacing w:before="0" w:after="120"/>
      </w:pPr>
      <w:bookmarkStart w:id="8" w:name="_Toc2034723429"/>
      <w:r>
        <w:rPr>
          <w:rFonts w:ascii="Arial" w:hAnsi="Arial" w:eastAsia="Arial" w:cs="Arial"/>
          <w:color w:val="333333"/>
          <w:sz w:val="22"/>
          <w:szCs w:val="22"/>
        </w:rPr>
        <w:t>Sources &amp; References</w:t>
      </w:r>
      <w:bookmarkEnd w:id="8"/>
    </w:p>
    <w:p w14:paraId="0D4981A6">
      <w:pPr>
        <w:pStyle w:val="14"/>
        <w:numPr>
          <w:ilvl w:val="0"/>
          <w:numId w:val="2"/>
        </w:numPr>
        <w:spacing w:after="60"/>
      </w:pPr>
      <w:r>
        <w:rPr>
          <w:rFonts w:ascii="Arial" w:hAnsi="Arial" w:eastAsia="Arial" w:cs="Arial"/>
          <w:color w:val="666666"/>
          <w:sz w:val="20"/>
          <w:szCs w:val="20"/>
        </w:rPr>
        <w:t>UNICEF Pakistan — Education Statistics and OOSC Data (2024)</w:t>
      </w:r>
    </w:p>
    <w:p w14:paraId="035ACCD5">
      <w:pPr>
        <w:pStyle w:val="14"/>
        <w:numPr>
          <w:ilvl w:val="0"/>
          <w:numId w:val="2"/>
        </w:numPr>
        <w:spacing w:after="60"/>
      </w:pPr>
      <w:r>
        <w:rPr>
          <w:rFonts w:ascii="Arial" w:hAnsi="Arial" w:eastAsia="Arial" w:cs="Arial"/>
          <w:color w:val="666666"/>
          <w:sz w:val="20"/>
          <w:szCs w:val="20"/>
        </w:rPr>
        <w:t>Pakistan Education Statistics 2022-23 (Ministry of Federal Education)</w:t>
      </w:r>
    </w:p>
    <w:p w14:paraId="7E7A1866">
      <w:pPr>
        <w:pStyle w:val="14"/>
        <w:numPr>
          <w:ilvl w:val="0"/>
          <w:numId w:val="2"/>
        </w:numPr>
        <w:spacing w:after="60"/>
      </w:pPr>
      <w:r>
        <w:rPr>
          <w:rFonts w:ascii="Arial" w:hAnsi="Arial" w:eastAsia="Arial" w:cs="Arial"/>
          <w:color w:val="666666"/>
          <w:sz w:val="20"/>
          <w:szCs w:val="20"/>
        </w:rPr>
        <w:t>Pakistan National AI Policy 2025 (Federal Cabinet, July 2025)</w:t>
      </w:r>
    </w:p>
    <w:p w14:paraId="54A85AFC">
      <w:pPr>
        <w:pStyle w:val="14"/>
        <w:numPr>
          <w:ilvl w:val="0"/>
          <w:numId w:val="2"/>
        </w:numPr>
        <w:spacing w:after="60"/>
      </w:pPr>
      <w:r>
        <w:rPr>
          <w:rFonts w:ascii="Arial" w:hAnsi="Arial" w:eastAsia="Arial" w:cs="Arial"/>
          <w:color w:val="666666"/>
          <w:sz w:val="20"/>
          <w:szCs w:val="20"/>
        </w:rPr>
        <w:t>PIDE Knowledge Brief 2025:136 — Assessing National AI Policy</w:t>
      </w:r>
    </w:p>
    <w:p w14:paraId="34428978">
      <w:pPr>
        <w:pStyle w:val="14"/>
        <w:numPr>
          <w:ilvl w:val="0"/>
          <w:numId w:val="2"/>
        </w:numPr>
        <w:spacing w:after="60"/>
      </w:pPr>
      <w:r>
        <w:rPr>
          <w:rFonts w:ascii="Arial" w:hAnsi="Arial" w:eastAsia="Arial" w:cs="Arial"/>
          <w:color w:val="666666"/>
          <w:sz w:val="20"/>
          <w:szCs w:val="20"/>
        </w:rPr>
        <w:t>Tracxn — EdTech Startups in Pakistan (Oct 2025)</w:t>
      </w:r>
    </w:p>
    <w:p w14:paraId="73E293F0">
      <w:pPr>
        <w:pStyle w:val="14"/>
        <w:numPr>
          <w:ilvl w:val="0"/>
          <w:numId w:val="2"/>
        </w:numPr>
        <w:spacing w:after="60"/>
      </w:pPr>
      <w:r>
        <w:rPr>
          <w:rFonts w:ascii="Arial" w:hAnsi="Arial" w:eastAsia="Arial" w:cs="Arial"/>
          <w:color w:val="666666"/>
          <w:sz w:val="20"/>
          <w:szCs w:val="20"/>
        </w:rPr>
        <w:t>Invest2Innovate — EdTech Landscape in Pakistan (Oct 2025)</w:t>
      </w:r>
    </w:p>
    <w:p w14:paraId="2FF96CE5">
      <w:pPr>
        <w:pStyle w:val="14"/>
        <w:numPr>
          <w:ilvl w:val="0"/>
          <w:numId w:val="2"/>
        </w:numPr>
        <w:spacing w:after="60"/>
      </w:pPr>
      <w:r>
        <w:rPr>
          <w:rFonts w:ascii="Arial" w:hAnsi="Arial" w:eastAsia="Arial" w:cs="Arial"/>
          <w:color w:val="666666"/>
          <w:sz w:val="20"/>
          <w:szCs w:val="20"/>
        </w:rPr>
        <w:t>Profit by Pakistan Today — EdTech Startup Coverage (2022-2023)</w:t>
      </w:r>
    </w:p>
    <w:p w14:paraId="5FA89D67">
      <w:pPr>
        <w:pStyle w:val="14"/>
        <w:numPr>
          <w:ilvl w:val="0"/>
          <w:numId w:val="2"/>
        </w:numPr>
        <w:spacing w:after="60"/>
      </w:pPr>
      <w:r>
        <w:rPr>
          <w:rFonts w:ascii="Arial" w:hAnsi="Arial" w:eastAsia="Arial" w:cs="Arial"/>
          <w:color w:val="666666"/>
          <w:sz w:val="20"/>
          <w:szCs w:val="20"/>
        </w:rPr>
        <w:t>Data Darbar Insights — Appistan EdTech Analysis (2022)</w:t>
      </w:r>
    </w:p>
    <w:p w14:paraId="7996E6A4">
      <w:pPr>
        <w:pStyle w:val="14"/>
        <w:numPr>
          <w:ilvl w:val="0"/>
          <w:numId w:val="2"/>
        </w:numPr>
        <w:spacing w:after="60"/>
      </w:pPr>
      <w:r>
        <w:rPr>
          <w:rFonts w:ascii="Arial" w:hAnsi="Arial" w:eastAsia="Arial" w:cs="Arial"/>
          <w:color w:val="666666"/>
          <w:sz w:val="20"/>
          <w:szCs w:val="20"/>
        </w:rPr>
        <w:t>Khan Academy / Khanmigo — Official Documentation and Press</w:t>
      </w:r>
    </w:p>
    <w:p w14:paraId="50347DB9">
      <w:pPr>
        <w:pStyle w:val="14"/>
        <w:numPr>
          <w:ilvl w:val="0"/>
          <w:numId w:val="2"/>
        </w:numPr>
        <w:spacing w:after="60"/>
      </w:pPr>
      <w:r>
        <w:rPr>
          <w:rFonts w:ascii="Arial" w:hAnsi="Arial" w:eastAsia="Arial" w:cs="Arial"/>
          <w:color w:val="666666"/>
          <w:sz w:val="20"/>
          <w:szCs w:val="20"/>
        </w:rPr>
        <w:t>UNESCO — Taleemabad Digital Transformation Case Study (Aug 2025)</w:t>
      </w:r>
    </w:p>
    <w:p w14:paraId="2933D47D">
      <w:pPr>
        <w:pStyle w:val="14"/>
        <w:numPr>
          <w:ilvl w:val="0"/>
          <w:numId w:val="2"/>
        </w:numPr>
        <w:spacing w:after="60"/>
      </w:pPr>
      <w:r>
        <w:rPr>
          <w:rFonts w:ascii="Arial" w:hAnsi="Arial" w:eastAsia="Arial" w:cs="Arial"/>
          <w:color w:val="666666"/>
          <w:sz w:val="20"/>
          <w:szCs w:val="20"/>
        </w:rPr>
        <w:t>PITB — Digital Punjab Portal and Education Initiatives</w:t>
      </w:r>
    </w:p>
    <w:p w14:paraId="1EF6DC4D">
      <w:pPr>
        <w:pStyle w:val="14"/>
        <w:numPr>
          <w:ilvl w:val="0"/>
          <w:numId w:val="2"/>
        </w:numPr>
        <w:spacing w:after="60"/>
      </w:pPr>
      <w:r>
        <w:rPr>
          <w:rFonts w:ascii="Arial" w:hAnsi="Arial" w:eastAsia="Arial" w:cs="Arial"/>
          <w:color w:val="666666"/>
          <w:sz w:val="20"/>
          <w:szCs w:val="20"/>
        </w:rPr>
        <w:t>Punjab SIS (School Information System) — Google Play Store</w:t>
      </w:r>
    </w:p>
    <w:p w14:paraId="6890E6F7">
      <w:pPr>
        <w:pStyle w:val="14"/>
        <w:numPr>
          <w:ilvl w:val="0"/>
          <w:numId w:val="2"/>
        </w:numPr>
        <w:spacing w:after="60"/>
      </w:pPr>
      <w:r>
        <w:rPr>
          <w:rFonts w:ascii="Arial" w:hAnsi="Arial" w:eastAsia="Arial" w:cs="Arial"/>
          <w:color w:val="666666"/>
          <w:sz w:val="20"/>
          <w:szCs w:val="20"/>
        </w:rPr>
        <w:t>Pakistan Economic Survey — Education Chapter (Various Years)</w:t>
      </w:r>
    </w:p>
    <w:p w14:paraId="3B61582D">
      <w:pPr>
        <w:pStyle w:val="14"/>
        <w:numPr>
          <w:ilvl w:val="0"/>
          <w:numId w:val="2"/>
        </w:numPr>
        <w:spacing w:after="60"/>
      </w:pPr>
      <w:r>
        <w:rPr>
          <w:rFonts w:ascii="Arial" w:hAnsi="Arial" w:eastAsia="Arial" w:cs="Arial"/>
          <w:color w:val="666666"/>
          <w:sz w:val="20"/>
          <w:szCs w:val="20"/>
        </w:rPr>
        <w:t>Idea Usher — AI Tutors Market Size Estimate (Dec 2025)</w:t>
      </w:r>
    </w:p>
    <w:p w14:paraId="127413E6">
      <w:pPr>
        <w:pStyle w:val="14"/>
        <w:numPr>
          <w:ilvl w:val="0"/>
          <w:numId w:val="2"/>
        </w:numPr>
        <w:spacing w:after="60"/>
      </w:pPr>
      <w:r>
        <w:rPr>
          <w:rFonts w:ascii="Arial" w:hAnsi="Arial" w:eastAsia="Arial" w:cs="Arial"/>
          <w:color w:val="666666"/>
          <w:sz w:val="20"/>
          <w:szCs w:val="20"/>
        </w:rPr>
        <w:t>Third Space Learning / Leverag AI — AI EdTech Platform Reviews (2025)</w:t>
      </w: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86"/>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Hiragino Sans GB">
    <w:panose1 w:val="020B0300000000000000"/>
    <w:charset w:val="86"/>
    <w:family w:val="auto"/>
    <w:pitch w:val="default"/>
    <w:sig w:usb0="A00002BF" w:usb1="1ACF7CFA" w:usb2="00000016" w:usb3="00000000" w:csb0="00060007" w:csb1="00000000"/>
  </w:font>
  <w:font w:name="Arial Unicode MS">
    <w:panose1 w:val="020B0604020202020204"/>
    <w:charset w:val="86"/>
    <w:family w:val="auto"/>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Helvetica Neue">
    <w:panose1 w:val="02000503000000020004"/>
    <w:charset w:val="00"/>
    <w:family w:val="auto"/>
    <w:pitch w:val="default"/>
    <w:sig w:usb0="E50002FF" w:usb1="500079DB" w:usb2="00000010" w:usb3="00000000" w:csb0="0000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苹方-简">
    <w:altName w:val="Times New Roman"/>
    <w:panose1 w:val="020B0600000000000000"/>
    <w:charset w:val="00"/>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A913F0">
    <w:pPr>
      <w:jc w:val="center"/>
    </w:pPr>
    <w:r>
      <w:rPr>
        <w:rFonts w:ascii="Arial" w:hAnsi="Arial" w:eastAsia="Arial" w:cs="Arial"/>
        <w:color w:val="666666"/>
        <w:sz w:val="16"/>
        <w:szCs w:val="16"/>
      </w:rPr>
      <w:t xml:space="preserve">Page </w:t>
    </w:r>
    <w:r>
      <w:rPr>
        <w:rFonts w:ascii="Arial" w:hAnsi="Arial" w:eastAsia="Arial" w:cs="Arial"/>
        <w:color w:val="666666"/>
        <w:sz w:val="16"/>
        <w:szCs w:val="16"/>
      </w:rPr>
      <w:fldChar w:fldCharType="begin"/>
    </w:r>
    <w:r>
      <w:rPr>
        <w:rFonts w:ascii="Arial" w:hAnsi="Arial" w:eastAsia="Arial" w:cs="Arial"/>
        <w:color w:val="666666"/>
        <w:sz w:val="16"/>
        <w:szCs w:val="16"/>
      </w:rPr>
      <w:instrText xml:space="preserve">PAGE</w:instrText>
    </w:r>
    <w:r>
      <w:rPr>
        <w:rFonts w:ascii="Arial" w:hAnsi="Arial" w:eastAsia="Arial" w:cs="Arial"/>
        <w:color w:val="666666"/>
        <w:sz w:val="16"/>
        <w:szCs w:val="16"/>
      </w:rPr>
      <w:fldChar w:fldCharType="separate"/>
    </w:r>
    <w:r>
      <w:rPr>
        <w:rFonts w:ascii="Arial" w:hAnsi="Arial" w:eastAsia="Arial" w:cs="Arial"/>
        <w:color w:val="666666"/>
        <w:sz w:val="16"/>
        <w:szCs w:val="16"/>
      </w:rPr>
      <w:fldChar w:fldCharType="end"/>
    </w:r>
    <w:r>
      <w:rPr>
        <w:rFonts w:ascii="Arial" w:hAnsi="Arial" w:eastAsia="Arial" w:cs="Arial"/>
        <w:color w:val="666666"/>
        <w:sz w:val="16"/>
        <w:szCs w:val="16"/>
      </w:rPr>
      <w:t xml:space="preserve"> • Confidential</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B9B51C">
    <w:pPr>
      <w:jc w:val="right"/>
    </w:pPr>
    <w:r>
      <w:rPr>
        <w:rFonts w:ascii="Arial" w:hAnsi="Arial" w:eastAsia="Arial" w:cs="Arial"/>
        <w:i/>
        <w:iCs/>
        <w:color w:val="666666"/>
        <w:sz w:val="16"/>
        <w:szCs w:val="16"/>
      </w:rPr>
      <w:t>IqbalAI — Competitor Research &amp; Market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FE5FD7"/>
    <w:multiLevelType w:val="singleLevel"/>
    <w:tmpl w:val="DFFE5FD7"/>
    <w:lvl w:ilvl="0" w:tentative="0">
      <w:start w:val="1"/>
      <w:numFmt w:val="bullet"/>
      <w:lvlText w:val="•"/>
      <w:lvlJc w:val="left"/>
      <w:pPr>
        <w:ind w:left="720" w:hanging="360"/>
      </w:pPr>
    </w:lvl>
  </w:abstractNum>
  <w:abstractNum w:abstractNumId="1">
    <w:nsid w:val="EF66243A"/>
    <w:multiLevelType w:val="singleLevel"/>
    <w:tmpl w:val="EF66243A"/>
    <w:lvl w:ilvl="0" w:tentative="0">
      <w:start w:val="1"/>
      <w:numFmt w:val="decimal"/>
      <w:lvlText w:val="%1."/>
      <w:lvlJc w:val="left"/>
      <w:pPr>
        <w:ind w:left="72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isplayBackgroundShape w:val="1"/>
  <w:documentProtection w:enforcement="0"/>
  <w:compat>
    <w:compatSetting w:name="compatibilityMode" w:uri="http://schemas.microsoft.com/office/word" w:val="15"/>
  </w:compat>
  <w:rsids>
    <w:rsidRoot w:val="00000000"/>
    <w:rsid w:val="2CFB40AD"/>
    <w:rsid w:val="6AF5CDC1"/>
    <w:rsid w:val="6FF35101"/>
    <w:rsid w:val="77B6C8AB"/>
    <w:rsid w:val="7FFF593A"/>
    <w:rsid w:val="EDDEBD2D"/>
    <w:rsid w:val="FD79DD6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60" w:after="200"/>
      <w:outlineLvl w:val="0"/>
    </w:pPr>
    <w:rPr>
      <w:rFonts w:ascii="Arial" w:hAnsi="Arial" w:eastAsia="Arial" w:cs="Arial"/>
      <w:b/>
      <w:bCs/>
      <w:color w:val="1B4F72"/>
      <w:sz w:val="36"/>
      <w:szCs w:val="36"/>
    </w:rPr>
  </w:style>
  <w:style w:type="paragraph" w:styleId="3">
    <w:name w:val="heading 2"/>
    <w:next w:val="1"/>
    <w:qFormat/>
    <w:uiPriority w:val="0"/>
    <w:pPr>
      <w:spacing w:before="280" w:after="160"/>
      <w:outlineLvl w:val="1"/>
    </w:pPr>
    <w:rPr>
      <w:rFonts w:ascii="Arial" w:hAnsi="Arial" w:eastAsia="Arial" w:cs="Arial"/>
      <w:b/>
      <w:bCs/>
      <w:color w:val="2E86C1"/>
      <w:sz w:val="28"/>
      <w:szCs w:val="28"/>
    </w:rPr>
  </w:style>
  <w:style w:type="paragraph" w:styleId="4">
    <w:name w:val="heading 3"/>
    <w:next w:val="1"/>
    <w:qFormat/>
    <w:uiPriority w:val="0"/>
    <w:pPr>
      <w:spacing w:before="200" w:after="120"/>
      <w:outlineLvl w:val="2"/>
    </w:pPr>
    <w:rPr>
      <w:rFonts w:ascii="Arial" w:hAnsi="Arial" w:eastAsia="Arial" w:cs="Arial"/>
      <w:b/>
      <w:bCs/>
      <w:color w:val="2C3E50"/>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footnote reference"/>
    <w:semiHidden/>
    <w:unhideWhenUsed/>
    <w:uiPriority w:val="99"/>
    <w:rPr>
      <w:vertAlign w:val="superscript"/>
    </w:rPr>
  </w:style>
  <w:style w:type="paragraph" w:styleId="11">
    <w:name w:val="footnote text"/>
    <w:link w:val="15"/>
    <w:semiHidden/>
    <w:unhideWhenUsed/>
    <w:uiPriority w:val="99"/>
    <w:pPr>
      <w:spacing w:after="0" w:line="240" w:lineRule="auto"/>
    </w:pPr>
    <w:rPr>
      <w:rFonts w:ascii="Arial" w:hAnsi="Arial" w:eastAsia="Arial" w:cs="Arial"/>
      <w:sz w:val="20"/>
      <w:szCs w:val="20"/>
    </w:rPr>
  </w:style>
  <w:style w:type="character" w:styleId="12">
    <w:name w:val="Hyperlink"/>
    <w:unhideWhenUsed/>
    <w:uiPriority w:val="99"/>
    <w:rPr>
      <w:color w:val="0563C1"/>
      <w:u w:val="single"/>
    </w:rPr>
  </w:style>
  <w:style w:type="paragraph" w:styleId="13">
    <w:name w:val="Title"/>
    <w:qFormat/>
    <w:uiPriority w:val="0"/>
    <w:rPr>
      <w:rFonts w:ascii="Arial" w:hAnsi="Arial" w:eastAsia="Arial" w:cs="Arial"/>
      <w:sz w:val="56"/>
      <w:szCs w:val="56"/>
    </w:rPr>
  </w:style>
  <w:style w:type="paragraph" w:styleId="14">
    <w:name w:val="List Paragraph"/>
    <w:qFormat/>
    <w:uiPriority w:val="0"/>
    <w:rPr>
      <w:rFonts w:ascii="Arial" w:hAnsi="Arial" w:eastAsia="Arial" w:cs="Arial"/>
      <w:sz w:val="22"/>
      <w:szCs w:val="22"/>
    </w:rPr>
  </w:style>
  <w:style w:type="character" w:customStyle="1" w:styleId="15">
    <w:name w:val="Footnote Text Char"/>
    <w:link w:val="11"/>
    <w:semiHidden/>
    <w:unhideWhenUsed/>
    <w:uiPriority w:val="99"/>
    <w:rPr>
      <w:sz w:val="20"/>
      <w:szCs w:val="20"/>
    </w:rPr>
  </w:style>
  <w:style w:type="paragraph" w:customStyle="1" w:styleId="16">
    <w:name w:val="WPSOffice手动目录 1"/>
    <w:uiPriority w:val="0"/>
    <w:pPr>
      <w:ind w:leftChars="0"/>
    </w:pPr>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TotalTime>5</TotalTime>
  <ScaleCrop>false</ScaleCrop>
  <LinksUpToDate>false</LinksUpToDate>
  <Application>WPS Office_6.12.1.8654_F1E327BC-269C-435d-A152-05C5408002CA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WPS_1748813386</cp:lastModifiedBy>
  <dcterms:modified xsi:type="dcterms:W3CDTF">2026-03-27T19:03:26Z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1033-6.12.1.8654</vt:lpwstr>
  </property>
  <property fmtid="{D5CDD505-2E9C-101B-9397-08002B2CF9AE}" pid="3" name="ICV">
    <vt:lpwstr>5AAAB2C0131FF5406D8CC669725E9171_42</vt:lpwstr>
  </property>
</Properties>
</file>