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0FDE" w14:textId="77777777" w:rsidR="00997CD1" w:rsidRPr="00997CD1" w:rsidRDefault="00997CD1" w:rsidP="00997CD1">
      <w:r w:rsidRPr="00997CD1">
        <w:t>Good thinking — the LLM is the brain of the entire system and deserves its own architectural layer. Here is the rationale for model selection and then the updated diagram.</w:t>
      </w:r>
    </w:p>
    <w:p w14:paraId="41965BD7" w14:textId="77777777" w:rsidR="00997CD1" w:rsidRPr="00997CD1" w:rsidRDefault="00997CD1" w:rsidP="00997CD1">
      <w:r w:rsidRPr="00997CD1">
        <w:rPr>
          <w:b/>
          <w:bCs/>
        </w:rPr>
        <w:t xml:space="preserve">Why these three models via </w:t>
      </w:r>
      <w:proofErr w:type="spellStart"/>
      <w:r w:rsidRPr="00997CD1">
        <w:rPr>
          <w:b/>
          <w:bCs/>
        </w:rPr>
        <w:t>Ollama</w:t>
      </w:r>
      <w:proofErr w:type="spellEnd"/>
      <w:r w:rsidRPr="00997CD1">
        <w:rPr>
          <w:b/>
          <w:bCs/>
        </w:rPr>
        <w:t>:</w:t>
      </w:r>
    </w:p>
    <w:p w14:paraId="404E16AE" w14:textId="77777777" w:rsidR="00997CD1" w:rsidRPr="00997CD1" w:rsidRDefault="00997CD1" w:rsidP="00997CD1">
      <w:r w:rsidRPr="00997CD1">
        <w:t xml:space="preserve">For your Saudi hospital context, the LLM layer needs three distinct capabilities running in parallel. </w:t>
      </w:r>
      <w:r w:rsidRPr="00997CD1">
        <w:rPr>
          <w:b/>
          <w:bCs/>
        </w:rPr>
        <w:t>Qwen 2.5 72B</w:t>
      </w:r>
      <w:r w:rsidRPr="00997CD1">
        <w:t xml:space="preserve"> is the primary conversational model — it leads all open-source models in Arabic language quality, which is non-negotiable for your patient population. </w:t>
      </w:r>
      <w:r w:rsidRPr="00997CD1">
        <w:rPr>
          <w:b/>
          <w:bCs/>
        </w:rPr>
        <w:t>Llama 3.3 70B</w:t>
      </w:r>
      <w:r w:rsidRPr="00997CD1">
        <w:t xml:space="preserve"> (Meta's top reasoning model) handles clinical escalation logic and complex triage decisions where structured thinking matters. </w:t>
      </w:r>
      <w:proofErr w:type="spellStart"/>
      <w:r w:rsidRPr="00997CD1">
        <w:rPr>
          <w:b/>
          <w:bCs/>
        </w:rPr>
        <w:t>BioMistral</w:t>
      </w:r>
      <w:proofErr w:type="spellEnd"/>
      <w:r w:rsidRPr="00997CD1">
        <w:rPr>
          <w:b/>
          <w:bCs/>
        </w:rPr>
        <w:t xml:space="preserve"> 7B</w:t>
      </w:r>
      <w:r w:rsidRPr="00997CD1">
        <w:t xml:space="preserve"> is a lightweight model fine-tuned specifically on medical literature (PubMed, clinical notes) — it handles fast symptom pre-screening without consuming the compute of the larger models. All three run locally via </w:t>
      </w:r>
      <w:proofErr w:type="spellStart"/>
      <w:r w:rsidRPr="00997CD1">
        <w:t>Ollama</w:t>
      </w:r>
      <w:proofErr w:type="spellEnd"/>
      <w:r w:rsidRPr="00997CD1">
        <w:t xml:space="preserve"> on hospital servers, keeping patient data entirely within the hospital network. An optional </w:t>
      </w:r>
      <w:proofErr w:type="spellStart"/>
      <w:r w:rsidRPr="00997CD1">
        <w:t>Ollama</w:t>
      </w:r>
      <w:proofErr w:type="spellEnd"/>
      <w:r w:rsidRPr="00997CD1">
        <w:t xml:space="preserve"> Cloud API fallback handles overflow when local compute is under peak </w:t>
      </w:r>
      <w:proofErr w:type="gramStart"/>
      <w:r w:rsidRPr="00997CD1">
        <w:t>load.---</w:t>
      </w:r>
      <w:proofErr w:type="gramEnd"/>
    </w:p>
    <w:p w14:paraId="0EC8F5B1" w14:textId="77777777" w:rsidR="00997CD1" w:rsidRPr="00997CD1" w:rsidRDefault="00997CD1" w:rsidP="00997CD1">
      <w:r w:rsidRPr="00997CD1">
        <w:t>Here is a summary of the key decisions made in the LLM layer:</w:t>
      </w:r>
    </w:p>
    <w:p w14:paraId="4E865108" w14:textId="77777777" w:rsidR="00997CD1" w:rsidRPr="00997CD1" w:rsidRDefault="00997CD1" w:rsidP="00997CD1">
      <w:r w:rsidRPr="00997CD1">
        <w:rPr>
          <w:b/>
          <w:bCs/>
        </w:rPr>
        <w:t>Model routing logic inside n8n</w:t>
      </w:r>
      <w:r w:rsidRPr="00997CD1">
        <w:t xml:space="preserve"> — n8n decides which model to call based on the task type. Routine reminders and conversational replies go to Qwen 2.5 72B (best Arabic quality). When the symptom chatbot needs to make a clinical escalation decision, n8n routes that specific prompt to Llama 3.3 70B for deeper reasoning. When a patient first reports symptoms, </w:t>
      </w:r>
      <w:proofErr w:type="spellStart"/>
      <w:r w:rsidRPr="00997CD1">
        <w:t>BioMistral</w:t>
      </w:r>
      <w:proofErr w:type="spellEnd"/>
      <w:r w:rsidRPr="00997CD1">
        <w:t xml:space="preserve"> 7B pre-screens within milliseconds and flags whether to escalate to the larger model — saving GPU time and cost significantly.</w:t>
      </w:r>
    </w:p>
    <w:p w14:paraId="11DF6F8F" w14:textId="77777777" w:rsidR="00997CD1" w:rsidRPr="00997CD1" w:rsidRDefault="00997CD1" w:rsidP="00997CD1">
      <w:r w:rsidRPr="00997CD1">
        <w:rPr>
          <w:b/>
          <w:bCs/>
        </w:rPr>
        <w:t>Hardware recommendation for local deployment</w:t>
      </w:r>
      <w:r w:rsidRPr="00997CD1">
        <w:t xml:space="preserve"> — to run all three models concurrently you will need a server with at least 4× NVIDIA A100 80GB GPUs (or equivalent). </w:t>
      </w:r>
      <w:proofErr w:type="spellStart"/>
      <w:r w:rsidRPr="00997CD1">
        <w:t>BioMistral</w:t>
      </w:r>
      <w:proofErr w:type="spellEnd"/>
      <w:r w:rsidRPr="00997CD1">
        <w:t xml:space="preserve"> runs comfortably on a single A100. Qwen 2.5 72B and Llama 3.3 70B each require 2× A100s in tensor-parallel mode via </w:t>
      </w:r>
      <w:proofErr w:type="spellStart"/>
      <w:r w:rsidRPr="00997CD1">
        <w:t>Ollama</w:t>
      </w:r>
      <w:proofErr w:type="spellEnd"/>
      <w:r w:rsidRPr="00997CD1">
        <w:t>. The total server cost is roughly $80,000–$120,000 as a one-time capital investment, which is far more economical than recurring cloud API costs at hospital scale, and eliminates all patient data sovereignty risk.</w:t>
      </w:r>
    </w:p>
    <w:p w14:paraId="43C777A6" w14:textId="77777777" w:rsidR="00997CD1" w:rsidRPr="00997CD1" w:rsidRDefault="00997CD1" w:rsidP="00997CD1">
      <w:proofErr w:type="spellStart"/>
      <w:r w:rsidRPr="00997CD1">
        <w:rPr>
          <w:b/>
          <w:bCs/>
        </w:rPr>
        <w:t>Ollama</w:t>
      </w:r>
      <w:proofErr w:type="spellEnd"/>
      <w:r w:rsidRPr="00997CD1">
        <w:rPr>
          <w:b/>
          <w:bCs/>
        </w:rPr>
        <w:t xml:space="preserve"> Cloud API as fallback</w:t>
      </w:r>
      <w:r w:rsidRPr="00997CD1">
        <w:t xml:space="preserve"> — if local GPU capacity is saturated during peak hours (e.g., morning medicine reminders triggering simultaneously for thousands of patients), n8n can automatically re-route overflow requests to </w:t>
      </w:r>
      <w:proofErr w:type="spellStart"/>
      <w:r w:rsidRPr="00997CD1">
        <w:t>Ollama's</w:t>
      </w:r>
      <w:proofErr w:type="spellEnd"/>
      <w:r w:rsidRPr="00997CD1">
        <w:t xml:space="preserve"> hosted API. The cloud calls are still via </w:t>
      </w:r>
      <w:proofErr w:type="spellStart"/>
      <w:r w:rsidRPr="00997CD1">
        <w:t>Ollama's</w:t>
      </w:r>
      <w:proofErr w:type="spellEnd"/>
      <w:r w:rsidRPr="00997CD1">
        <w:t xml:space="preserve"> interface, so no code changes are needed — only a configuration switch.</w:t>
      </w:r>
    </w:p>
    <w:p w14:paraId="5645E5B5" w14:textId="77777777" w:rsidR="00997CD1" w:rsidRPr="00997CD1" w:rsidRDefault="00997CD1" w:rsidP="00997CD1">
      <w:r w:rsidRPr="00997CD1">
        <w:t xml:space="preserve">Click any box in the diagram to explore that component further. When you are ready, I can help you design the n8n workflow JSON, the </w:t>
      </w:r>
      <w:proofErr w:type="spellStart"/>
      <w:r w:rsidRPr="00997CD1">
        <w:t>Ollama</w:t>
      </w:r>
      <w:proofErr w:type="spellEnd"/>
      <w:r w:rsidRPr="00997CD1">
        <w:t xml:space="preserve"> model routing logic, or the hardware procurement specification.</w:t>
      </w:r>
    </w:p>
    <w:p w14:paraId="031457CE" w14:textId="77777777" w:rsidR="00E934D2" w:rsidRDefault="00E934D2"/>
    <w:sectPr w:rsidR="00E93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6E0"/>
    <w:rsid w:val="007846E0"/>
    <w:rsid w:val="00991EAC"/>
    <w:rsid w:val="00997CD1"/>
    <w:rsid w:val="00E934D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3BD82"/>
  <w15:chartTrackingRefBased/>
  <w15:docId w15:val="{C9AA37D7-876C-4389-A6F1-98BCEC9A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6E0"/>
    <w:rPr>
      <w:rFonts w:eastAsiaTheme="majorEastAsia" w:cstheme="majorBidi"/>
      <w:color w:val="272727" w:themeColor="text1" w:themeTint="D8"/>
    </w:rPr>
  </w:style>
  <w:style w:type="paragraph" w:styleId="Title">
    <w:name w:val="Title"/>
    <w:basedOn w:val="Normal"/>
    <w:next w:val="Normal"/>
    <w:link w:val="TitleChar"/>
    <w:uiPriority w:val="10"/>
    <w:qFormat/>
    <w:rsid w:val="00784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6E0"/>
    <w:pPr>
      <w:spacing w:before="160"/>
      <w:jc w:val="center"/>
    </w:pPr>
    <w:rPr>
      <w:i/>
      <w:iCs/>
      <w:color w:val="404040" w:themeColor="text1" w:themeTint="BF"/>
    </w:rPr>
  </w:style>
  <w:style w:type="character" w:customStyle="1" w:styleId="QuoteChar">
    <w:name w:val="Quote Char"/>
    <w:basedOn w:val="DefaultParagraphFont"/>
    <w:link w:val="Quote"/>
    <w:uiPriority w:val="29"/>
    <w:rsid w:val="007846E0"/>
    <w:rPr>
      <w:i/>
      <w:iCs/>
      <w:color w:val="404040" w:themeColor="text1" w:themeTint="BF"/>
    </w:rPr>
  </w:style>
  <w:style w:type="paragraph" w:styleId="ListParagraph">
    <w:name w:val="List Paragraph"/>
    <w:basedOn w:val="Normal"/>
    <w:uiPriority w:val="34"/>
    <w:qFormat/>
    <w:rsid w:val="007846E0"/>
    <w:pPr>
      <w:ind w:left="720"/>
      <w:contextualSpacing/>
    </w:pPr>
  </w:style>
  <w:style w:type="character" w:styleId="IntenseEmphasis">
    <w:name w:val="Intense Emphasis"/>
    <w:basedOn w:val="DefaultParagraphFont"/>
    <w:uiPriority w:val="21"/>
    <w:qFormat/>
    <w:rsid w:val="007846E0"/>
    <w:rPr>
      <w:i/>
      <w:iCs/>
      <w:color w:val="0F4761" w:themeColor="accent1" w:themeShade="BF"/>
    </w:rPr>
  </w:style>
  <w:style w:type="paragraph" w:styleId="IntenseQuote">
    <w:name w:val="Intense Quote"/>
    <w:basedOn w:val="Normal"/>
    <w:next w:val="Normal"/>
    <w:link w:val="IntenseQuoteChar"/>
    <w:uiPriority w:val="30"/>
    <w:qFormat/>
    <w:rsid w:val="00784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6E0"/>
    <w:rPr>
      <w:i/>
      <w:iCs/>
      <w:color w:val="0F4761" w:themeColor="accent1" w:themeShade="BF"/>
    </w:rPr>
  </w:style>
  <w:style w:type="character" w:styleId="IntenseReference">
    <w:name w:val="Intense Reference"/>
    <w:basedOn w:val="DefaultParagraphFont"/>
    <w:uiPriority w:val="32"/>
    <w:qFormat/>
    <w:rsid w:val="007846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Khan</dc:creator>
  <cp:keywords/>
  <dc:description/>
  <cp:lastModifiedBy>Sami Khan</cp:lastModifiedBy>
  <cp:revision>3</cp:revision>
  <dcterms:created xsi:type="dcterms:W3CDTF">2026-04-30T19:15:00Z</dcterms:created>
  <dcterms:modified xsi:type="dcterms:W3CDTF">2026-04-30T19:22:00Z</dcterms:modified>
</cp:coreProperties>
</file>