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</w:tbl>
    <w:p/>
    <w:p>
      <w:r>
        <w:rPr>
          <w:b/>
          <w:sz w:val="24"/>
        </w:rPr>
        <w:t>Technical Architecture:</w:t>
      </w:r>
    </w:p>
    <w:p>
      <w:r>
        <w:t>The architecture includes the web interface, FastAPI application logic, separate learning feature modules, centralized Gemini service, validation layer and local application runtime.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48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Techn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Table-1 : Components &amp;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Technology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 Interface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Web interface used to select a learning task, enter input and view results.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HTML, CSS, JavaScript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Application Logic-1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Main backend routes and application entry point.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Python, FastAPI, Uvicorn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Application Logic-2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Question answering, topic explanation, quiz and summarization feature logic.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Python feature modules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Application Logic-3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Learning-path generation and centralized AI request handling.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Python, Gemini service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Database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 application database is specified in the supplied EduGenie project.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Not specified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Cloud Database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 cloud database is specified in the supplied EduGenie project.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Not specified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File Storage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Project source, templates and static assets.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Local filesystem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External API-1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AI content generation for learning features.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Google Gemini API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External API-2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 second external API is specified in the supplied project.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Not specified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10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Machine Learning Model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Generates answers, explanations, quizzes, summaries and learning recommendations.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Google Gemini model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11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Infrastructure (Server / Cloud)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Application runtime for local development.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Uvicorn on 127.0.0.1:8000</w:t>
            </w:r>
          </w:p>
        </w:tc>
      </w:tr>
    </w:tbl>
    <w:p>
      <w:r>
        <w:rPr>
          <w:b/>
          <w:sz w:val="24"/>
        </w:rPr>
        <w:t>Table-2: Application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Characteristics</w:t>
            </w:r>
          </w:p>
        </w:tc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2664"/>
            <w:vAlign w:val="top"/>
            <w:shd w:fill="DDEBF7"/>
          </w:tcPr>
          <w:p>
            <w:r/>
            <w:r>
              <w:rPr>
                <w:b/>
                <w:sz w:val="15"/>
              </w:rPr>
              <w:t>Technology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Open-Source Frameworks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Open-source web/backend frameworks used by the application.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FastAPI, Uvicorn, Jinja2, Pydantic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Security Implementations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Gemini API key is kept on the backend and loaded through environment configuration.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.env / environment variables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Scalable Architecture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Learning features are separated into individual modules and Gemini integration is centralized.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Modular FastAPI architecture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Health status can be checked through the application health endpoint.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FastAPI /health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4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Modular requests and structured response validation keep each learning task focused.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FastAPI, Pydantic, Gemini</w:t>
            </w:r>
          </w:p>
        </w:tc>
      </w:tr>
    </w:tbl>
    <w:p>
      <w:r>
        <w:rPr>
          <w:b/>
        </w:rPr>
        <w:t>References:</w:t>
      </w:r>
    </w:p>
    <w:p>
      <w:r>
        <w:t>EduGenie project documentation and supplied project source structure.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