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Problem – Solution Fit Canvas</w:t>
      </w:r>
    </w:p>
    <w:p>
      <w:pPr>
        <w:jc w:val="center"/>
      </w:pPr>
      <w:r>
        <w:rPr>
          <w:b/>
          <w:sz w:val="26"/>
        </w:rPr>
        <w:t>EduGenie – AI-Powered Learning Assistant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top"/>
            <w:shd w:fill="DDEBF7"/>
          </w:tcPr>
          <w:p>
            <w:r/>
            <w:r>
              <w:rPr>
                <w:b/>
                <w:sz w:val="16"/>
              </w:rPr>
              <w:t>Date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6"/>
              </w:rPr>
              <w:t>15 February 2025</w:t>
            </w:r>
          </w:p>
        </w:tc>
      </w:tr>
      <w:tr>
        <w:tc>
          <w:tcPr>
            <w:tcW w:type="dxa" w:w="7056"/>
            <w:vAlign w:val="top"/>
            <w:shd w:fill="DDEBF7"/>
          </w:tcPr>
          <w:p>
            <w:r/>
            <w:r>
              <w:rPr>
                <w:b/>
                <w:sz w:val="16"/>
              </w:rPr>
              <w:t>Team ID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6"/>
              </w:rPr>
              <w:t>SWTID-2026-6425</w:t>
            </w:r>
          </w:p>
        </w:tc>
      </w:tr>
      <w:tr>
        <w:tc>
          <w:tcPr>
            <w:tcW w:type="dxa" w:w="7056"/>
            <w:vAlign w:val="top"/>
            <w:shd w:fill="DDEBF7"/>
          </w:tcPr>
          <w:p>
            <w:r/>
            <w:r>
              <w:rPr>
                <w:b/>
                <w:sz w:val="16"/>
              </w:rPr>
              <w:t>Project Name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6"/>
              </w:rPr>
              <w:t>EduGenie – AI-Powered Learning Assistant</w:t>
            </w:r>
          </w:p>
        </w:tc>
      </w:tr>
      <w:tr>
        <w:tc>
          <w:tcPr>
            <w:tcW w:type="dxa" w:w="7056"/>
            <w:vAlign w:val="top"/>
            <w:shd w:fill="DDEBF7"/>
          </w:tcPr>
          <w:p>
            <w:r/>
            <w:r>
              <w:rPr>
                <w:b/>
                <w:sz w:val="16"/>
              </w:rPr>
              <w:t>Maximum Marks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6"/>
              </w:rPr>
              <w:t>4 Marks</w:t>
            </w:r>
          </w:p>
        </w:tc>
      </w:tr>
    </w:tbl>
    <w:p/>
    <w:p>
      <w:r>
        <w:t>Purpose / Vision: Make common learning activities simpler by bringing AI-powered study assistance into one web-based interface.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4704"/>
            <w:shd w:fill="DDEBF7"/>
          </w:tcPr>
          <w:p>
            <w:r/>
            <w:r>
              <w:rPr>
                <w:b/>
                <w:sz w:val="17"/>
              </w:rPr>
              <w:t>1. CUSTOMER SEGMENT(S)</w:t>
            </w:r>
          </w:p>
          <w:p>
            <w:r>
              <w:rPr>
                <w:sz w:val="16"/>
              </w:rPr>
              <w:t>Students and learners who need help understanding topics, practising questions, summarizing study material and planning what to learn next.</w:t>
            </w:r>
          </w:p>
        </w:tc>
        <w:tc>
          <w:tcPr>
            <w:tcW w:type="dxa" w:w="4704"/>
            <w:shd w:fill="DDEBF7"/>
          </w:tcPr>
          <w:p>
            <w:r/>
            <w:r>
              <w:rPr>
                <w:b/>
                <w:sz w:val="17"/>
              </w:rPr>
              <w:t>6. CUSTOMER CONSTRAINTS</w:t>
            </w:r>
          </w:p>
          <w:p>
            <w:r>
              <w:rPr>
                <w:sz w:val="16"/>
              </w:rPr>
              <w:t>Limited time for study; difficulty using multiple tools; varying learner levels; need for simple interfaces; dependence on network access and AI service availability.</w:t>
            </w:r>
          </w:p>
        </w:tc>
        <w:tc>
          <w:tcPr>
            <w:tcW w:type="dxa" w:w="4704"/>
            <w:shd w:fill="DDEBF7"/>
          </w:tcPr>
          <w:p>
            <w:r/>
            <w:r>
              <w:rPr>
                <w:b/>
                <w:sz w:val="17"/>
              </w:rPr>
              <w:t>5. AVAILABLE SOLUTIONS</w:t>
            </w:r>
          </w:p>
          <w:p>
            <w:r>
              <w:rPr>
                <w:sz w:val="16"/>
              </w:rPr>
              <w:t>Search engines, textbooks, notes, video tutorials, separate quiz tools and general AI assistants. These can help, but learners may need to switch between tools for different study tasks.</w:t>
            </w:r>
          </w:p>
        </w:tc>
      </w:tr>
      <w:tr>
        <w:tc>
          <w:tcPr>
            <w:tcW w:type="dxa" w:w="4704"/>
            <w:shd w:fill="DDEBF7"/>
          </w:tcPr>
          <w:p>
            <w:r/>
            <w:r>
              <w:rPr>
                <w:b/>
                <w:sz w:val="17"/>
              </w:rPr>
              <w:t>2. JOBS-TO-BE-DONE / PROBLEMS</w:t>
            </w:r>
          </w:p>
          <w:p>
            <w:r>
              <w:rPr>
                <w:sz w:val="16"/>
              </w:rPr>
              <w:t>Understand a topic; get answers to questions; practise with quizzes; summarize study text; identify a structured learning path.</w:t>
            </w:r>
          </w:p>
        </w:tc>
        <w:tc>
          <w:tcPr>
            <w:tcW w:type="dxa" w:w="4704"/>
            <w:shd w:fill="DDEBF7"/>
          </w:tcPr>
          <w:p>
            <w:r/>
            <w:r>
              <w:rPr>
                <w:b/>
                <w:sz w:val="17"/>
              </w:rPr>
              <w:t>9. PROBLEM ROOT CAUSE</w:t>
            </w:r>
          </w:p>
          <w:p>
            <w:r>
              <w:rPr>
                <w:sz w:val="16"/>
              </w:rPr>
              <w:t>Common learning activities are often handled through separate resources, and learners may not have one simple place that combines explanation, practice, summarization and learning guidance.</w:t>
            </w:r>
          </w:p>
        </w:tc>
        <w:tc>
          <w:tcPr>
            <w:tcW w:type="dxa" w:w="4704"/>
            <w:shd w:fill="DDEBF7"/>
          </w:tcPr>
          <w:p>
            <w:r/>
            <w:r>
              <w:rPr>
                <w:b/>
                <w:sz w:val="17"/>
              </w:rPr>
              <w:t>7. BEHAVIOUR</w:t>
            </w:r>
          </w:p>
          <w:p>
            <w:r>
              <w:rPr>
                <w:sz w:val="16"/>
              </w:rPr>
              <w:t>Learners search online, read notes, ask questions, watch educational content, create or solve practice questions and look for guidance on what to learn next.</w:t>
            </w:r>
          </w:p>
        </w:tc>
      </w:tr>
      <w:tr>
        <w:tc>
          <w:tcPr>
            <w:tcW w:type="dxa" w:w="4704"/>
            <w:shd w:fill="DDEBF7"/>
          </w:tcPr>
          <w:p>
            <w:r/>
            <w:r>
              <w:rPr>
                <w:b/>
                <w:sz w:val="17"/>
              </w:rPr>
              <w:t>3. TRIGGERS</w:t>
            </w:r>
          </w:p>
          <w:p>
            <w:r>
              <w:rPr>
                <w:sz w:val="16"/>
              </w:rPr>
              <w:t>A difficult topic, an upcoming assessment, need for quick clarification, need to summarize material, or uncertainty about the next learning step.</w:t>
            </w:r>
          </w:p>
        </w:tc>
        <w:tc>
          <w:tcPr>
            <w:tcW w:type="dxa" w:w="4704"/>
            <w:shd w:fill="DDEBF7"/>
          </w:tcPr>
          <w:p>
            <w:r/>
            <w:r>
              <w:rPr>
                <w:b/>
                <w:sz w:val="17"/>
              </w:rPr>
              <w:t>4. EMOTIONS: BEFORE / AFTER</w:t>
            </w:r>
          </w:p>
          <w:p>
            <w:r>
              <w:rPr>
                <w:sz w:val="16"/>
              </w:rPr>
              <w:t>Before: confused, overloaded or uncertain. After receiving useful support: clearer, more confident and better prepared to continue learning.</w:t>
            </w:r>
          </w:p>
        </w:tc>
        <w:tc>
          <w:tcPr>
            <w:tcW w:type="dxa" w:w="4704"/>
            <w:shd w:fill="DDEBF7"/>
          </w:tcPr>
          <w:p>
            <w:r/>
            <w:r>
              <w:rPr>
                <w:b/>
                <w:sz w:val="17"/>
              </w:rPr>
              <w:t>10. YOUR SOLUTION</w:t>
            </w:r>
          </w:p>
          <w:p>
            <w:r>
              <w:rPr>
                <w:sz w:val="16"/>
              </w:rPr>
              <w:t>EduGenie: one AI-powered learning assistant providing Ask a Question, Explain a Topic, Generate Quiz, Summarize Text and Recommend Learning Path through a simple web interface.</w:t>
            </w:r>
          </w:p>
        </w:tc>
      </w:tr>
      <w:tr>
        <w:tc>
          <w:tcPr>
            <w:tcW w:type="dxa" w:w="14112"/>
            <w:gridSpan w:val="3"/>
            <w:vAlign w:val="top"/>
            <w:shd w:fill="E2F0D9"/>
          </w:tcPr>
          <w:p>
            <w:r/>
            <w:r>
              <w:rPr>
                <w:b w:val="0"/>
                <w:sz w:val="16"/>
              </w:rPr>
              <w:t>8. CHANNELS of BEHAVIOUR</w:t>
              <w:br/>
              <w:t>Online: web browser, search, educational websites and digital study material. Offline: textbooks, class notes, classroom learning and personal study sessions.</w:t>
            </w:r>
          </w:p>
        </w:tc>
      </w:tr>
    </w:tbl>
    <w:p/>
    <w:p>
      <w:r>
        <w:t>Fit Summary: EduGenie directly addresses the identified learning jobs by combining five commonly needed study activities in one interface.</w:t>
      </w:r>
    </w:p>
    <w:sectPr w:rsidR="00FC693F" w:rsidRPr="0006063C" w:rsidSect="00034616">
      <w:pgSz w:w="15840" w:h="12240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